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05" w:rsidRDefault="00026912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8"/>
        </w:rPr>
        <w:t>OBRAZLOŽENJE IZVRŠENJA FINANCIJSKOG PLANA HRVATSKIH CESTA ZA  2022. GODINU</w:t>
      </w:r>
    </w:p>
    <w:p w:rsidR="000B4B05" w:rsidRDefault="00026912">
      <w:pPr>
        <w:spacing w:line="360" w:lineRule="auto"/>
      </w:pPr>
      <w:r>
        <w:rPr>
          <w:rFonts w:ascii="Times New Roman" w:hAnsi="Times New Roman" w:cs="Times New Roman"/>
          <w:b/>
          <w:sz w:val="24"/>
          <w:u w:val="single"/>
        </w:rPr>
        <w:br/>
        <w:t>UVOD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Poslovanje društva Hrvatske ceste d.o.o. određeno je Zakonom o cestama, Izjavom o osnivanju, Zakonom o trgovačkim društvima, Zakonom o proračunu, odlukama Vlade Republike Hrvatske te drugim zakonima i pravilnicima vezanima uz djelatnost Društva. Osnovna djelatnost Društva je upravljanje, građenje, rekonstrukcija i održavanje državnih cesta. Planiranje poslovnih aktivnosti Društva u skladu je sa Strategijom prometnog razvitka, četverogodišnjim Programom građenja i održavanja javnih cesta koji donosi Vlada Republike Hrvatske na prijedlog Ministarstva mora, prometa i infrastrukture. Temeljem četverogodišnjeg Programa, Hrvatske ceste izrađuju godišnji plan ulaganja u građenje i održavanje državnih cesta.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Hrvatski sabor je na svojoj sjednici 4. studenoga 2022. donio Odluku o davanju suglasnosti na Izmjene i dopune Financijskog plana Hrvatskih cesta za 2022. godinu i projekcije Plana za 2023. i 2024. godinu. Navedeni dokument objavljen je u Narodnim novinama br. 131/22 od 8. studenoga 2022. godine.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Ukupni prihodi Društva u 2022. godini iznosili su 3.159,70 milijuna kuna, a ukupni rashodi 3.502,10 milijuna kuna, što je rezultiralo manjkom od 342,39 milijuna kuna.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U nastavku dokumenta je detaljna razrada realizacije plana.</w:t>
      </w:r>
    </w:p>
    <w:p w:rsidR="00026912" w:rsidRDefault="00026912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0B4B05" w:rsidRDefault="00026912">
      <w:pPr>
        <w:spacing w:line="360" w:lineRule="auto"/>
      </w:pPr>
      <w:r>
        <w:rPr>
          <w:rFonts w:ascii="Times New Roman" w:hAnsi="Times New Roman" w:cs="Times New Roman"/>
          <w:b/>
          <w:sz w:val="24"/>
          <w:u w:val="single"/>
        </w:rPr>
        <w:t>PRIHODI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24"/>
        <w:gridCol w:w="1499"/>
        <w:gridCol w:w="1499"/>
        <w:gridCol w:w="1498"/>
        <w:gridCol w:w="937"/>
        <w:gridCol w:w="937"/>
      </w:tblGrid>
      <w:tr w:rsidR="000B4B05">
        <w:tc>
          <w:tcPr>
            <w:tcW w:w="14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BROJČANA OZNAKA I NAZIV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OSTVARENJE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2021.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PLAN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OSTVARENJE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  <w:tc>
          <w:tcPr>
            <w:tcW w:w="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</w:tr>
      <w:tr w:rsidR="000B4B05">
        <w:tc>
          <w:tcPr>
            <w:tcW w:w="14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5=4/2</w:t>
            </w:r>
          </w:p>
        </w:tc>
        <w:tc>
          <w:tcPr>
            <w:tcW w:w="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6=4/3</w:t>
            </w:r>
          </w:p>
        </w:tc>
      </w:tr>
      <w:tr w:rsidR="000B4B05">
        <w:tc>
          <w:tcPr>
            <w:tcW w:w="1400" w:type="pct"/>
            <w:vAlign w:val="center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6 PRIHODI POSLOVANJA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2.984.680.181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3.119.464.763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3.159.436.379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105,9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101,3</w:t>
            </w:r>
          </w:p>
        </w:tc>
      </w:tr>
      <w:tr w:rsidR="000B4B05">
        <w:tc>
          <w:tcPr>
            <w:tcW w:w="14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7 PRIHODI OD PRODAJE NEFINANCIJSKE IMOVINE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283.670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350.000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267.504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94,3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76,4</w:t>
            </w:r>
          </w:p>
        </w:tc>
      </w:tr>
      <w:tr w:rsidR="000B4B05">
        <w:tc>
          <w:tcPr>
            <w:tcW w:w="14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</w:rPr>
              <w:t>UKUPNI PRIHODI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2.984.963.851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3.119.814.763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3.159.703.883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105,9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101,3</w:t>
            </w:r>
          </w:p>
        </w:tc>
      </w:tr>
    </w:tbl>
    <w:p w:rsidR="000B4B05" w:rsidRDefault="000B4B05">
      <w:pPr>
        <w:spacing w:after="0" w:line="240" w:lineRule="auto"/>
      </w:pP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Prihodi poslovanja zabilježili su međugodišnji rast od 5,86% te su u 2022. iznosili 3.159,44 milijuna kuna. Najveći udio u tom iznosu (69,78%) odnosi se na Pomoći proračunu iz drugih proračuna i izvanproračunskim korisnicima u iznosu od 2.204,52 milijuna kuna, a tu je uračunata nacionalna komponenta  kapitalnih pomoći za financiranje EU projekata i programa (ukupan iznos 148,82 milijuna kuna), nacionalna komponenta tekućih pomoći za financiranje EU projekata i programa (ukupan iznos 0,32 milijuna kuna) i prihodi od naknade iz goriva u iznosu od 2.055,37 milijuna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kuna. 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 xml:space="preserve">Prihod od naknade iz goriva propisan je Zakonom o cestama, knjiži se temeljem izvješća Carinske uprave o količinama motornih benzina i plinskih ulja za pogon na koje je uplaćena naknada za financiranje građenja i održavanja javnih cesta i željeznica, a uplaćuje se iz Državnog proračuna u iznosu od 0,80 kuna po litri naplaćene trošarine na energente. 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 xml:space="preserve">U 2022. godini na stavci pomoći temeljem prijenosa sredstava EU ostvareno je 916,32 milijuna kuna, što je 16,49 % više u odnosu na godinu ranije. Najveći dio navedenog iznosa </w:t>
      </w:r>
      <w:r>
        <w:rPr>
          <w:rFonts w:ascii="Times New Roman" w:hAnsi="Times New Roman" w:cs="Times New Roman"/>
          <w:sz w:val="24"/>
        </w:rPr>
        <w:lastRenderedPageBreak/>
        <w:t>odnosi se na prijenos sredstava za financiranje projekta Cestovna povezanost s južnom Dalmacijom.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 xml:space="preserve">Prihodi od nefinancijske imovine ostvareni su u iznosu od 18,92 milijuna kuna, od čega se 18,44 milijuna kuna odnosi na prihode od naknada za ceste. </w:t>
      </w:r>
    </w:p>
    <w:p w:rsidR="000B4B05" w:rsidRDefault="00026912" w:rsidP="008B664F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Ostatak prihoda poslovanja u iznosu od 19,68 milijuna kuna u najvećem dijelu se odnosi na prihode po posebnim propisima odnosno prihode od sufinanciranja rekonstrukcije ili izgradnje državnih cesta od strane jedinica lokalne samouprave, komunalnih, javnih i ostalih društava.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Prihodi od prodaje nefinancijske imovine ostvareni su u iznosu od 0,27 milijuna kuna što je na razini 76,43% ostvarenja godišnjeg plana i na razini od 94,30% u odnosu na 2021. godinu.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  <w:u w:val="single"/>
        </w:rPr>
        <w:br/>
        <w:t>RASHODI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24"/>
        <w:gridCol w:w="1499"/>
        <w:gridCol w:w="1499"/>
        <w:gridCol w:w="1498"/>
        <w:gridCol w:w="937"/>
        <w:gridCol w:w="937"/>
      </w:tblGrid>
      <w:tr w:rsidR="000B4B05">
        <w:tc>
          <w:tcPr>
            <w:tcW w:w="14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BROJČANA OZNAKA I NAZIV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IZVRŠENJE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2021.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PLAN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IZVRŠENJE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  <w:tc>
          <w:tcPr>
            <w:tcW w:w="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</w:tr>
      <w:tr w:rsidR="000B4B05">
        <w:tc>
          <w:tcPr>
            <w:tcW w:w="14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5=4/2</w:t>
            </w:r>
          </w:p>
        </w:tc>
        <w:tc>
          <w:tcPr>
            <w:tcW w:w="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6=4/3</w:t>
            </w:r>
          </w:p>
        </w:tc>
      </w:tr>
      <w:tr w:rsidR="000B4B05">
        <w:tc>
          <w:tcPr>
            <w:tcW w:w="1400" w:type="pct"/>
            <w:vAlign w:val="center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930.825.512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1.026.152.420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1.060.625.463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113,9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103,4</w:t>
            </w:r>
          </w:p>
        </w:tc>
      </w:tr>
      <w:tr w:rsidR="000B4B05">
        <w:tc>
          <w:tcPr>
            <w:tcW w:w="14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2.017.753.802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2.397.351.205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2.441.471.086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121,0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101,8</w:t>
            </w:r>
          </w:p>
        </w:tc>
      </w:tr>
      <w:tr w:rsidR="000B4B05">
        <w:tc>
          <w:tcPr>
            <w:tcW w:w="14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</w:rPr>
              <w:t>UKUPNI RASHODI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2.948.579.314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3.423.503.625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3.502.096.549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118,8</w:t>
            </w:r>
          </w:p>
        </w:tc>
        <w:tc>
          <w:tcPr>
            <w:tcW w:w="5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102,3</w:t>
            </w:r>
          </w:p>
        </w:tc>
      </w:tr>
    </w:tbl>
    <w:p w:rsidR="000B4B05" w:rsidRDefault="000B4B05">
      <w:pPr>
        <w:spacing w:after="0" w:line="240" w:lineRule="auto"/>
      </w:pP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Rashodi za zaposlene izvršeni su u iznosu od 125,36 milijuna kuna što predstavlja izvršenje od 90,44% planiranih sredstava za tu namjenu.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Ukupno izvršenje materijalnih rashoda iznosi 683,37 milijuna kuna, tj. 109,36% plana. U strukturi materijalnih rashoda za promatrano razdoblje 93,38% čine rashodi za usluge koji se najvećim dijelom sastoje od rashoda za usluge tekućeg i investicijskog održavanja (što obuhvaća redovito održavanje državnih cesta i objekata, izvanredno održavanje državnih cesta te održavanje zgrada i opreme).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U 2022. godini financijski rashodi izvršeni su u iznosu od 238,66 milijuna kuna, od čega se najveći dio odnosi na kamate za primljene kredite i zajmove koje iznose 228,55 milijuna kuna.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Pomoći unutar općeg proračuna (pomoći dane Županijskim upravama za ceste i pomoći za nerazvrstane ceste) u 2022. godini izvršene su u iznosu od  8,40 milijuna kuna odnosno 76,36% planiranog iznosa.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Ostali rashodi realizirani su u iznosu od 4,83 milijuna kuna, odnosno 61,57% planiranog iznosa. Najveći dio unutar navedenih rashoda se odnosi na naknade šteta pravnim i fizičkim osobama u iznosu od 4,62 milijuna kuna.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Ukupni rashodi za nabavu nefinancijske imovine u 2022. godini planirani su u iznosu od 2.397,35 milijuna kuna od čega je tijekom godine realizirano 2.441,47 milijuna kuna odnosno 101,84 %. U strukturi rashoda za nabavu nefinancijske imovine najveći se dio odnosi na rashode za nabavu proizvedene dugotrajne imovine, od čega 2.276,17 milijuna kuna čine rashodi za građevinske objekte (izgradnja, investicijsko održavanje i rekonstrukcija državnih cesta). U odnosu na realizaciju 2021. godine, rashodi za građevinske objekte povećani su za 18,85%.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 xml:space="preserve">Od značajnih projekata svakako treba spomenuti projekt gradnje dionice Okučani – Stara Gradiška (55,42 milijuna kuna) u programu K300004 – Spojevi na autoceste, projekte Spojna cesta Škurinje – Luka Rijeka D403 (180,10 milijuna kuna), Stobreč – Dugi Rat – Omiš D8 </w:t>
      </w:r>
      <w:r>
        <w:rPr>
          <w:rFonts w:ascii="Times New Roman" w:hAnsi="Times New Roman" w:cs="Times New Roman"/>
          <w:sz w:val="24"/>
        </w:rPr>
        <w:lastRenderedPageBreak/>
        <w:t>(96,06 milijuna kuna) i Farkaševac – Bjelovar D12 (33,47 milijuna kuna) u programu K300005 – Program gradnje i rekonstrukcije brzih cesta, projekte Vukmanički Cerovac – Mostanje D1 (70,14 milijuna kuna), Istočna obilaznica Novog Marofa (39,80 milijuna kuna), dionica Ilok - Lipovac Srijemske granične transverzale (35,56 milijuna kuna), Izgradnja obilaznice Belog Manastira (21,85 milijuna kuna) i Spojnu cestu čvor Sisak – Sisak (26,90 milijuna kuna) u programu K300006 – Ostali programi zahvata na državnim cestama, te u programu K300007 – Rekonstrukcija i uređenje cesta na otocima projekt Cestovna povezanost s južnom Dalmacijom (1.096,13 milijuna kuna).  Unutar programa K300011 – Investicijsko održavanje i rekonstrukcija državnih cesta najznačajniji projekti u 2022. bili su Rekonstrukcija D213/001 i 002, od Nemetina (D2) do GP Erdut duljine 21,90 km (36,09 milijuna kuna), Izvanredno održavanje državne ceste D52, dionica Prozor - Vrelo Koreničko (Trnavac - Pogledalo), od km 26+800 do km 35+480 (32,74 milijuna kuna) i Obnova D501 na dionici čvor Oštrovica - Meja/Hreljin (25,10 milijuna kuna).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U posebnom dijelu Plana vidljiva su odstupanja od planiranih iznosa na nekim stavkama. Realizacija konta 4111 - Zemljište na programima K300004, K300005, K300006 i K300010 veće je od planiranog zbog same naravi procesa. Teško se procjenjuje cijena unaprijed jer se za svaku česticu pregovara sa vlasnikom ili ide u izvlaštenje temeljem Zakon o izvlaštenju pa konačna cijena bude utvrđena tek naknadno. Također cijene zemljišta za projekt Stobreč – Dugi Rat – Omiš bile su veće od očekivanih zbog geografske lokacije. Druge dvije stavke gdje vidimo značajna odstupanja od planiranih iznosa su K300011 Investicijsko održavanje i rekonstrukcije državnih cesta i A300003 Redovito održavanje. Premašenje plana za redovito i investicijsko održavanje uzorkovano je zbog poremećaja na tržištu građevinskih materijala i proizvoda uzrokovanih pandemijom COVID-19 i ratom u Ukrajini te isplate iznosa u ime klizne skale, sukladno Zaključku Vlade Republike Hrvatske od 21. lipnja 2022. godine o ublažavanju posljedica globalnog poremećaja na tržištima građevinskih materijala i proizvoda.</w:t>
      </w:r>
    </w:p>
    <w:p w:rsidR="00026912" w:rsidRDefault="00026912" w:rsidP="00026912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1B3B7F" w:rsidRDefault="001B3B7F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1B3B7F" w:rsidRDefault="001B3B7F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1B3B7F" w:rsidRDefault="001B3B7F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1B3B7F" w:rsidRDefault="001B3B7F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1B3B7F" w:rsidRDefault="001B3B7F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1B3B7F" w:rsidRDefault="001B3B7F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F8671C" w:rsidRDefault="00026912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/>
      </w:r>
    </w:p>
    <w:p w:rsidR="00391B51" w:rsidRDefault="00391B51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391B51" w:rsidRDefault="00391B51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391B51" w:rsidRDefault="00391B51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0B4B05" w:rsidRDefault="00026912">
      <w:pPr>
        <w:spacing w:line="360" w:lineRule="auto"/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RAČUN FINANCIRANJA</w:t>
      </w:r>
    </w:p>
    <w:p w:rsidR="000B4B05" w:rsidRDefault="00026912">
      <w:pPr>
        <w:spacing w:line="360" w:lineRule="auto"/>
      </w:pPr>
      <w:r>
        <w:rPr>
          <w:rFonts w:ascii="Times New Roman" w:hAnsi="Times New Roman" w:cs="Times New Roman"/>
          <w:b/>
          <w:sz w:val="24"/>
          <w:u w:val="single"/>
        </w:rPr>
        <w:t>A. Račun prihoda i rashoda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97"/>
        <w:gridCol w:w="1799"/>
        <w:gridCol w:w="1799"/>
        <w:gridCol w:w="899"/>
      </w:tblGrid>
      <w:tr w:rsidR="000B4B05">
        <w:tc>
          <w:tcPr>
            <w:tcW w:w="2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BROJČANA OZNAKA I NAZIV</w:t>
            </w:r>
          </w:p>
        </w:tc>
        <w:tc>
          <w:tcPr>
            <w:tcW w:w="1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PLAN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1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OSTVARENJE/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IZVRŠENJE 2022.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</w:tr>
      <w:tr w:rsidR="000B4B05">
        <w:tc>
          <w:tcPr>
            <w:tcW w:w="2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1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1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4=3/2</w:t>
            </w:r>
          </w:p>
        </w:tc>
      </w:tr>
      <w:tr w:rsidR="000B4B05">
        <w:tc>
          <w:tcPr>
            <w:tcW w:w="2500" w:type="pct"/>
            <w:vAlign w:val="center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UKUPNI PRIHODI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3.119.814.763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3.159.703.883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101,3</w:t>
            </w:r>
          </w:p>
        </w:tc>
      </w:tr>
      <w:tr w:rsidR="000B4B05">
        <w:tc>
          <w:tcPr>
            <w:tcW w:w="25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UKUPNI RASHODI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3.423.503.625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3.502.096.549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102,3</w:t>
            </w:r>
          </w:p>
        </w:tc>
      </w:tr>
      <w:tr w:rsidR="000B4B05">
        <w:tc>
          <w:tcPr>
            <w:tcW w:w="25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</w:rPr>
              <w:t>RAZLIKA - VIŠAK/MANJAK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-303.688.862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-342.392.666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112,7</w:t>
            </w:r>
          </w:p>
        </w:tc>
      </w:tr>
    </w:tbl>
    <w:p w:rsidR="001B3B7F" w:rsidRDefault="001B3B7F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0B4B05" w:rsidRDefault="00026912">
      <w:pPr>
        <w:spacing w:line="360" w:lineRule="auto"/>
      </w:pPr>
      <w:r>
        <w:rPr>
          <w:rFonts w:ascii="Times New Roman" w:hAnsi="Times New Roman" w:cs="Times New Roman"/>
          <w:b/>
          <w:sz w:val="24"/>
          <w:u w:val="single"/>
        </w:rPr>
        <w:t>B. Račun financiranja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97"/>
        <w:gridCol w:w="1799"/>
        <w:gridCol w:w="1799"/>
        <w:gridCol w:w="899"/>
      </w:tblGrid>
      <w:tr w:rsidR="000B4B05">
        <w:tc>
          <w:tcPr>
            <w:tcW w:w="2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BROJČANA OZNAKA I NAZIV</w:t>
            </w:r>
          </w:p>
        </w:tc>
        <w:tc>
          <w:tcPr>
            <w:tcW w:w="1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PLAN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1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OSTVARENJE/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IZVRŠENJE 2022.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</w:tr>
      <w:tr w:rsidR="000B4B05">
        <w:tc>
          <w:tcPr>
            <w:tcW w:w="2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1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1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8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4=3/2</w:t>
            </w:r>
          </w:p>
        </w:tc>
      </w:tr>
      <w:tr w:rsidR="000B4B05">
        <w:tc>
          <w:tcPr>
            <w:tcW w:w="2500" w:type="pct"/>
            <w:vAlign w:val="center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8 PRIMICI OD FINANCIJSKE IMOVINE I ZADUŽIVANJA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985.648.862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937.416.290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95,1</w:t>
            </w:r>
          </w:p>
        </w:tc>
      </w:tr>
      <w:tr w:rsidR="000B4B05">
        <w:tc>
          <w:tcPr>
            <w:tcW w:w="25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5 IZDACI ZA FINANCIJSKU IMOVINU I OTPLATE ZAJMOVA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681.960.000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679.227.388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99,6</w:t>
            </w:r>
          </w:p>
        </w:tc>
      </w:tr>
      <w:tr w:rsidR="000B4B05">
        <w:tc>
          <w:tcPr>
            <w:tcW w:w="25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PRIJENOS DEPOZITA IZ PRETHODNE GODINE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318.539.950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318.539.950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100,0</w:t>
            </w:r>
          </w:p>
        </w:tc>
      </w:tr>
      <w:tr w:rsidR="000B4B05">
        <w:tc>
          <w:tcPr>
            <w:tcW w:w="25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PRIJENOS DEPOZITA U SLJEDEĆU GODINU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-318.539.950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-234.336.186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73,6</w:t>
            </w:r>
          </w:p>
        </w:tc>
      </w:tr>
      <w:tr w:rsidR="000B4B05">
        <w:tc>
          <w:tcPr>
            <w:tcW w:w="25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NETO FINANCIRANJE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303.688.862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342.392.666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112,7</w:t>
            </w:r>
          </w:p>
        </w:tc>
      </w:tr>
      <w:tr w:rsidR="000B4B05">
        <w:tc>
          <w:tcPr>
            <w:tcW w:w="2500" w:type="pct"/>
            <w:vAlign w:val="bottom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</w:rPr>
              <w:t>VIŠAK/MANJAK + NETO FINANCIRANJE</w:t>
            </w:r>
          </w:p>
        </w:tc>
        <w:tc>
          <w:tcPr>
            <w:tcW w:w="10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:rsidR="000B4B05" w:rsidRDefault="000B4B05">
            <w:pPr>
              <w:spacing w:after="0" w:line="240" w:lineRule="auto"/>
              <w:jc w:val="right"/>
            </w:pPr>
          </w:p>
        </w:tc>
      </w:tr>
    </w:tbl>
    <w:p w:rsidR="000B4B05" w:rsidRDefault="000B4B05">
      <w:pPr>
        <w:spacing w:after="0" w:line="240" w:lineRule="auto"/>
      </w:pP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Ukupni prihodi Društva u 2022. godini iznosili su 3.159,70 milijuna kuna, a ukupni rashodi 3.502,10 milijuna kuna, što je rezultiralo manjkom od 342,39 milijuna kuna. To je 12,70% više od planiranog.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U 2022. godini primici od financijske imovine i zaduživanja iznose 937,42 milijuna kuna što se odnosi na zaduženje po dugoročnom klupskom kreditu (Erste &amp; Steiermaerkische Bank d.d,  Hrvatska poštanska banka d.d., OTP bank d.d., Privredna banka Zagreb d.d., RBA d.d., Zagrebačka banka d.d.) u iznosu od 870,24 milijuna kuna i povlačenje revolving kreditne linije (Privredna banka Zagreb d.d.) u iznosu od 67,18 milijuna kuna.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Izdaci za otplatu glavnica primljenih kredita i zajmova iznosili su 679,23 milijuna kuna, što je na razini od 99,60% planiranog iznosa. </w:t>
      </w:r>
    </w:p>
    <w:p w:rsidR="000B4B05" w:rsidRDefault="00026912">
      <w:pPr>
        <w:spacing w:line="360" w:lineRule="auto"/>
      </w:pPr>
      <w:r>
        <w:rPr>
          <w:rFonts w:ascii="Times New Roman" w:hAnsi="Times New Roman" w:cs="Times New Roman"/>
          <w:b/>
          <w:sz w:val="24"/>
          <w:u w:val="single"/>
        </w:rPr>
        <w:br/>
        <w:t>NENAPLAĆENA POTRAŽIVANJA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997"/>
        <w:gridCol w:w="3997"/>
      </w:tblGrid>
      <w:tr w:rsidR="000B4B05">
        <w:tc>
          <w:tcPr>
            <w:tcW w:w="2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NAZIV</w:t>
            </w:r>
          </w:p>
        </w:tc>
        <w:tc>
          <w:tcPr>
            <w:tcW w:w="2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STANJE NA DAN 31.12.2022.</w:t>
            </w:r>
          </w:p>
        </w:tc>
      </w:tr>
      <w:tr w:rsidR="000B4B05">
        <w:tc>
          <w:tcPr>
            <w:tcW w:w="2500" w:type="pct"/>
            <w:vAlign w:val="center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HRVATSKE CESTE</w:t>
            </w:r>
          </w:p>
        </w:tc>
        <w:tc>
          <w:tcPr>
            <w:tcW w:w="2000" w:type="pct"/>
            <w:vAlign w:val="center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0"/>
              </w:rPr>
              <w:t>44.592.741</w:t>
            </w:r>
          </w:p>
        </w:tc>
      </w:tr>
    </w:tbl>
    <w:p w:rsidR="000B4B05" w:rsidRDefault="000B4B05">
      <w:pPr>
        <w:spacing w:after="0" w:line="240" w:lineRule="auto"/>
      </w:pPr>
    </w:p>
    <w:p w:rsidR="001B3B7F" w:rsidRDefault="00026912" w:rsidP="001B3B7F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Stanje nenaplaćenih potraživanja za prihode poslovanja i potraživanja od prodaje nefinancijske imovine (s uključenim ispravkom vrijednosti potraživanja) na dan 31.12.2022. godine iznosi 44,59 milijuna kuna. Dospjela potraživanja iznose 10,77 milijuna kuna. </w:t>
      </w:r>
    </w:p>
    <w:p w:rsidR="001B3B7F" w:rsidRDefault="001B3B7F" w:rsidP="001B3B7F">
      <w:pPr>
        <w:spacing w:line="240" w:lineRule="auto"/>
        <w:jc w:val="both"/>
      </w:pPr>
    </w:p>
    <w:p w:rsidR="0033633E" w:rsidRDefault="0033633E" w:rsidP="001B3B7F">
      <w:pPr>
        <w:spacing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391B51" w:rsidRDefault="00391B51" w:rsidP="001B3B7F">
      <w:pPr>
        <w:spacing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391B51" w:rsidRDefault="00391B51" w:rsidP="001B3B7F">
      <w:pPr>
        <w:spacing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0B4B05" w:rsidRDefault="00026912" w:rsidP="001B3B7F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DOSPJELE NEPODMIRENE OBVEZE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997"/>
        <w:gridCol w:w="3997"/>
      </w:tblGrid>
      <w:tr w:rsidR="000B4B05">
        <w:tc>
          <w:tcPr>
            <w:tcW w:w="2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NAZIV</w:t>
            </w:r>
          </w:p>
        </w:tc>
        <w:tc>
          <w:tcPr>
            <w:tcW w:w="2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STANJE NA DAN 31.12.2022.</w:t>
            </w:r>
          </w:p>
        </w:tc>
      </w:tr>
      <w:tr w:rsidR="000B4B05">
        <w:tc>
          <w:tcPr>
            <w:tcW w:w="2500" w:type="pct"/>
            <w:vAlign w:val="center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HRVATSKE CESTE</w:t>
            </w:r>
          </w:p>
        </w:tc>
        <w:tc>
          <w:tcPr>
            <w:tcW w:w="2000" w:type="pct"/>
            <w:vAlign w:val="center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0"/>
              </w:rPr>
              <w:t>5.310.130</w:t>
            </w:r>
          </w:p>
        </w:tc>
      </w:tr>
    </w:tbl>
    <w:p w:rsidR="000B4B05" w:rsidRDefault="000B4B05">
      <w:pPr>
        <w:spacing w:after="0" w:line="240" w:lineRule="auto"/>
      </w:pP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 xml:space="preserve">Stanje nepodmirenih dospjelih obveza iznosi 5,31 milijun kuna i odnosi se na obveze prema dobavljačima za materijalne rashode poslovanja u iznosu od 2,93 milijuna kuna, a obveze prema dobavljačima za nabavu nefinancijske imovine iznose 2,38 milijuna kuna. 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Nepodmirene dospjele obveze nastale su iz razloga zadržavanja sredstava zbog nedostatka garancija kao ugovorne obveze dobavljača u svrhu osiguranja za dobro izvršenje posla ili otklanjanje nedostataka u jamstvenom roku.</w:t>
      </w: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Kod neplaćanja obveza za nabavu nefinancijske imovine, osim navedenog razlog neplaćanja obveza su i razna ograničenja navedena u Zakonu o izvlaštenju. Takve obveze plaćaju se nakon završetka sudskog postupka ili sklapanja nagodbe, sukladno Zakonu o izvlaštenju.</w:t>
      </w:r>
    </w:p>
    <w:p w:rsidR="000B4B05" w:rsidRDefault="00026912">
      <w:pPr>
        <w:spacing w:line="360" w:lineRule="auto"/>
      </w:pPr>
      <w:r>
        <w:rPr>
          <w:rFonts w:ascii="Times New Roman" w:hAnsi="Times New Roman" w:cs="Times New Roman"/>
          <w:b/>
          <w:sz w:val="24"/>
          <w:u w:val="single"/>
        </w:rPr>
        <w:br/>
        <w:t>POTENCIJALNE OBVEZE PO SUDSKIM SPOROVIMA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997"/>
        <w:gridCol w:w="3997"/>
      </w:tblGrid>
      <w:tr w:rsidR="000B4B05">
        <w:tc>
          <w:tcPr>
            <w:tcW w:w="25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NAZIV</w:t>
            </w:r>
          </w:p>
        </w:tc>
        <w:tc>
          <w:tcPr>
            <w:tcW w:w="2000" w:type="pct"/>
            <w:shd w:val="clear" w:color="auto" w:fill="BCDFFB"/>
            <w:vAlign w:val="center"/>
          </w:tcPr>
          <w:p w:rsidR="000B4B05" w:rsidRDefault="000269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STANJE NA DAN 31.12.2022.</w:t>
            </w:r>
          </w:p>
        </w:tc>
      </w:tr>
      <w:tr w:rsidR="000B4B05">
        <w:tc>
          <w:tcPr>
            <w:tcW w:w="2500" w:type="pct"/>
            <w:vAlign w:val="center"/>
          </w:tcPr>
          <w:p w:rsidR="000B4B05" w:rsidRDefault="000269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HRVATSKE CESTE</w:t>
            </w:r>
          </w:p>
        </w:tc>
        <w:tc>
          <w:tcPr>
            <w:tcW w:w="2000" w:type="pct"/>
            <w:vAlign w:val="center"/>
          </w:tcPr>
          <w:p w:rsidR="000B4B05" w:rsidRDefault="0002691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0"/>
              </w:rPr>
              <w:t>133.816.201</w:t>
            </w:r>
          </w:p>
        </w:tc>
      </w:tr>
    </w:tbl>
    <w:p w:rsidR="000B4B05" w:rsidRDefault="000B4B05">
      <w:pPr>
        <w:spacing w:after="0" w:line="240" w:lineRule="auto"/>
      </w:pPr>
    </w:p>
    <w:p w:rsidR="000B4B05" w:rsidRDefault="00026912">
      <w:pPr>
        <w:spacing w:line="240" w:lineRule="auto"/>
        <w:jc w:val="both"/>
      </w:pPr>
      <w:r>
        <w:rPr>
          <w:rFonts w:ascii="Times New Roman" w:hAnsi="Times New Roman" w:cs="Times New Roman"/>
          <w:sz w:val="24"/>
        </w:rPr>
        <w:t>Stanje potencijalnih obveza po osnovi sudskih postupaka na dan 31.12.2022. iznosi 133,82 milijuna kuna, a odnosi se na procijenjenu vrijednost predmeta spora za naknadu šteta nastalih zbog propusta u održavanju državnih cesta, prometnih nezgoda uslijed gradnje cesta, zauzimanje zemljišta prilikom gradnje te na ostale sporove po pitanju vlasništva, radnih sporova i ostalo.</w:t>
      </w:r>
    </w:p>
    <w:sectPr w:rsidR="000B4B05" w:rsidSect="008D61A3">
      <w:footerReference w:type="default" r:id="rId6"/>
      <w:pgSz w:w="11906" w:h="16838" w:code="9"/>
      <w:pgMar w:top="1417" w:right="1417" w:bottom="1417" w:left="1417" w:header="720" w:footer="720" w:gutter="0"/>
      <w:pgNumType w:start="92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A3" w:rsidRDefault="008D61A3" w:rsidP="008D61A3">
      <w:pPr>
        <w:spacing w:after="0" w:line="240" w:lineRule="auto"/>
      </w:pPr>
      <w:r>
        <w:separator/>
      </w:r>
    </w:p>
  </w:endnote>
  <w:endnote w:type="continuationSeparator" w:id="0">
    <w:p w:rsidR="008D61A3" w:rsidRDefault="008D61A3" w:rsidP="008D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656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61A3" w:rsidRPr="008D61A3" w:rsidRDefault="008D61A3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61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61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61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B51">
          <w:rPr>
            <w:rFonts w:ascii="Times New Roman" w:hAnsi="Times New Roman" w:cs="Times New Roman"/>
            <w:noProof/>
            <w:sz w:val="24"/>
            <w:szCs w:val="24"/>
          </w:rPr>
          <w:t>925</w:t>
        </w:r>
        <w:r w:rsidRPr="008D61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61A3" w:rsidRDefault="008D61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A3" w:rsidRDefault="008D61A3" w:rsidP="008D61A3">
      <w:pPr>
        <w:spacing w:after="0" w:line="240" w:lineRule="auto"/>
      </w:pPr>
      <w:r>
        <w:separator/>
      </w:r>
    </w:p>
  </w:footnote>
  <w:footnote w:type="continuationSeparator" w:id="0">
    <w:p w:rsidR="008D61A3" w:rsidRDefault="008D61A3" w:rsidP="008D6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4B05"/>
    <w:rsid w:val="00026912"/>
    <w:rsid w:val="000B4B05"/>
    <w:rsid w:val="001B3B7F"/>
    <w:rsid w:val="0033633E"/>
    <w:rsid w:val="00391B51"/>
    <w:rsid w:val="008B664F"/>
    <w:rsid w:val="008D61A3"/>
    <w:rsid w:val="00F8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58EE"/>
  <w15:docId w15:val="{264A0B1E-78C2-4E05-905B-1053A7C6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61A3"/>
  </w:style>
  <w:style w:type="paragraph" w:styleId="Podnoje">
    <w:name w:val="footer"/>
    <w:basedOn w:val="Normal"/>
    <w:link w:val="PodnojeChar"/>
    <w:uiPriority w:val="99"/>
    <w:unhideWhenUsed/>
    <w:rsid w:val="008D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61A3"/>
  </w:style>
  <w:style w:type="paragraph" w:styleId="Tekstbalonia">
    <w:name w:val="Balloon Text"/>
    <w:basedOn w:val="Normal"/>
    <w:link w:val="TekstbaloniaChar"/>
    <w:uiPriority w:val="99"/>
    <w:semiHidden/>
    <w:unhideWhenUsed/>
    <w:rsid w:val="008D6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6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Mirta Hukman</cp:lastModifiedBy>
  <cp:revision>8</cp:revision>
  <cp:lastPrinted>2023-05-04T15:14:00Z</cp:lastPrinted>
  <dcterms:created xsi:type="dcterms:W3CDTF">2023-04-07T08:50:00Z</dcterms:created>
  <dcterms:modified xsi:type="dcterms:W3CDTF">2023-05-04T15:18:00Z</dcterms:modified>
</cp:coreProperties>
</file>