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b35d3446e844cc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38108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HRVATSKE CESTE D.O.O.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41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363.242.744,57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389.121.035,24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194.922.702,23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200.073.891,54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168.320.042,34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189.047.143,70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329.124,11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326.230,99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255.390.924,51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291.016.544,14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255.061.800,40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290.690.313,15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461.461.100,70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403.392.593,04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360.443.917,40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257.713.755,12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101.017.183,30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145.678.837,92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14.275.425,24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44.035.668,47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308,5</w:t>
            </w:r>
          </w:p>
        </w:tc>
      </w:tr>
    </w:tbl>
    <w:p>
      <w:pPr>
        <w:spacing w:before="0" w:after="0"/>
      </w:pPr>
    </w:p>
    <w:p>
      <w:pPr>
        <w:jc w:val="both"/>
      </w:pPr>
      <w:r>
        <w:t xml:space="preserve">Hrvatske ceste d.o.o. su trgovačko društvo koje poslovne knjige vodi po poduzetničkom knjigovodstvu i izrađuje godišnje financijske izvještaje u skladu sa Zakonom o računovodstvu, Međunarodnim standardima financijskog izvještavanja i Zakonom o cestama.  </w:t>
      </w:r>
    </w:p>
    <w:p>
      <w:pPr>
        <w:jc w:val="both"/>
      </w:pPr>
      <w:r>
        <w:t xml:space="preserve">Društvo je izvanproračunski korisnik na temelju Zakona o proračunu, Pravilnika o proračunskim klasifikacijama i Pravilnika o proračunskom knjigovodstvu i Računskom planu.</w:t>
      </w:r>
    </w:p>
    <w:p>
      <w:pPr>
        <w:jc w:val="both"/>
      </w:pPr>
      <w:r>
        <w:t xml:space="preserve">U obvezi smo izraditi i dostaviti prijedlog Financijskog plana svake godine za narednu proračunsku godinu uz projekcije za naredne dvije godine. Isti šaljemo nadležnom ministarstvu koje ga zajedno sa svojim financijskim planom dostavlja Ministarstvu financija.  </w:t>
      </w:r>
    </w:p>
    <w:p>
      <w:pPr>
        <w:jc w:val="both"/>
      </w:pPr>
      <w:r>
        <w:t xml:space="preserve">Kako je Društvo klasificirano u RKP-u kao izvanproračunski korisnik, proračunske financijske izvještaje izrađujemo temeljem realizacije Financijskog plana po novčanom i obračunskom načelu koji mjesečno dostavljamo Ministarstvu financija.   </w:t>
      </w:r>
    </w:p>
    <w:p>
      <w:pPr>
        <w:jc w:val="both"/>
      </w:pPr>
      <w:r>
        <w:t xml:space="preserve">Dana 12.rujna 2025. godine zaprimili smo dopis Ministarstva financija, Uprave za procese Državne riznice koji se odnose na državno računovodstvo i informacijski sustav (KLASA:400-02/25-01/28, URBROJ:513-17-01-25-5) u kojem nas  obavještavate da smo obveznici financijskog izvještavanja u skladu s pravilima proračunskog računovodstva za izvanproračunske korisnike.</w:t>
      </w:r>
    </w:p>
    <w:p>
      <w:pPr>
        <w:jc w:val="both"/>
      </w:pPr>
      <w:r>
        <w:t xml:space="preserve">U sklopu projekta „Učinkovitiji sustav financijskog i statističkog izvještavanja“ Vezne tablice  su izrađene posebno za  Hrvatske ceste d.o.o. Prve financijske izvještaje propisane Pravilnikom o financijskom izvještavanju u proračunskom računovodstvu, zajedno s Veznim tablicama, dostavili smo za siječanj-prosinac 2019. godine temeljem dopisa Ministarstva financija (KLASA:400-02/18-01/74, URBROJ:513-05-03-19-7) od 7. veljače 2019. godine. Iste izrađujemo do danas.  </w:t>
      </w:r>
    </w:p>
    <w:p>
      <w:pPr>
        <w:jc w:val="both"/>
      </w:pPr>
      <w:r>
        <w:t xml:space="preserve">STANJE POTENCIJALNIH OBVEZA PO OSNOVI SUDSKIH POSTUPAKA  Odredbe računovodstvene primjene dugoročnog rezerviranja za troškove i određene rizike određene su MRS 37 – Rezerviranja. U skladu s tim odredbama Društvo rezervira sredstva po započetim sudskim sporovima na temelju procjene Sektora za pravne poslove, poslove ljudskih resursa i opće poslove krajem svake godine.</w:t>
      </w:r>
    </w:p>
    <w:p>
      <w:pPr>
        <w:jc w:val="both"/>
      </w:pPr>
      <w:r>
        <w:t xml:space="preserve">Stanje potencijalnih obveza po osnovi sudskih postupaka na dan 31.12.2025. iznosi 11,01 milijuna eura, 1,17 milijuna eura manje u odnosu na prošllu godinu, a odnosi se na procijenjenu vrijednost predmeta spora za naknadu šteta nastalih zbog propusta u održavanju državnih cesta, prometnih nezgoda uslijed gradnje cesta, zauzimanje zemljišta prilikom gradnje te na ostale sporove po pitanju vlasništva, radnih sporova i ostalo.  </w:t>
      </w:r>
    </w:p>
    <w:p>
      <w:pPr>
        <w:jc w:val="both"/>
      </w:pPr>
      <w:r>
        <w:t xml:space="preserve">Stanje nenaplaćenih potraživanja za prihode od kupaca na dan 31.12.2025. iznosi 0,82 milijuna eura. Dospjela potraživanja iznose 0,30 milijuna eura te se većim dijelom odnose se na kupce za korištenje cestovnog zemljišta – naknada za pravo služnosti koja je rezultat promjena Zakona o cestama te obveze sklapanja dodataka ugovoru za izniman broj pravnih subjekata koji su prije bili oslobođeni iste. Kod većine kupaca to je predmet osporavanja odnosno neplaćanja za koje ćemo poduzeti mjere naplate.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w:t>
            </w:r>
          </w:p>
        </w:tc>
      </w:tr>
    </w:tbl>
    <w:p>
      <w:pPr>
        <w:spacing w:before="0" w:after="0"/>
      </w:pPr>
    </w:p>
    <w:p>
      <w:pPr>
        <w:jc w:val="both"/>
      </w:pPr>
      <w:r>
        <w:t xml:space="preserve">Kapitalne pomoći od institucija i tijela EU u 2025. se odnose na primitke s osonove projekata Sigurnost na TEN-T cestama  - opreman na cesti.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326.692.193,12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350.594.583,49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pPr>
        <w:jc w:val="both"/>
      </w:pPr>
      <w:r>
        <w:t xml:space="preserve">Kapitalne pomoći proračunu iz drugih proračuna i izvanproračunskim korisnicima su najznačajniji prihodi i iznose 350,59 milijuna eura, a uključuju prihode od naknade iz goriva, odnosno naknade za financiranje građenja i održavanja javnih cesta u iznosu od 350,05 milijuna eura i kapitalne pomoći iz proračuna - nacionalna komponenta u iznosu 0,54 milijuna eura. U navedenim prihodima nalazi se i prijenos sredstava iz Ministarstva unutarnjih poslova temeljem ugovora o sufinanciranju kroz Nacionalni program sigurnosti na cestama u iznosu 0,40 milijuna eura.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258.778,43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w:t>
            </w:r>
          </w:p>
        </w:tc>
      </w:tr>
    </w:tbl>
    <w:p>
      <w:pPr>
        <w:spacing w:before="0" w:after="0"/>
      </w:pPr>
    </w:p>
    <w:p>
      <w:pPr>
        <w:jc w:val="both"/>
      </w:pPr>
      <w:r>
        <w:t xml:space="preserve">Tekuće pomoći temeljem prijenosa  EU sredstava u 2025. se odnose na primitke s osnove projekata X4ITS PROJEKT - poboljšanje prekograničnog vođenja prometa kroz implementaciju ITS sustava.</w:t>
      </w:r>
    </w:p>
    <w:p>
      <w:r>
        <w:t xml:space="preserv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27.497.441,86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23.626.459,34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w:t>
            </w:r>
          </w:p>
        </w:tc>
      </w:tr>
    </w:tbl>
    <w:p>
      <w:pPr>
        <w:spacing w:before="0" w:after="0"/>
      </w:pPr>
    </w:p>
    <w:p>
      <w:pPr>
        <w:jc w:val="both"/>
      </w:pPr>
      <w:r>
        <w:t xml:space="preserve">Tekuće pomoći temeljem prijenosa  EU sredstava u 2025. se odnose na projekate:</w:t>
      </w:r>
    </w:p>
    <w:p>
      <w:pPr>
        <w:jc w:val="both"/>
      </w:pPr>
      <w:r>
        <w:t xml:space="preserve">1.      Izgradnja ceste Solin - Stobreč - Dugi Rat – Omiš,dionica: čvor Mravince - čvor TTTS: 23.465.019,66 eura.</w:t>
      </w:r>
    </w:p>
    <w:p>
      <w:pPr>
        <w:jc w:val="both"/>
      </w:pPr>
      <w:r>
        <w:t xml:space="preserve">2.      CROCODILLE 3: 62.849,16 eura,</w:t>
      </w:r>
    </w:p>
    <w:p>
      <w:pPr>
        <w:jc w:val="both"/>
      </w:pPr>
      <w:r>
        <w:t xml:space="preserve">3.      NAPCORE MOVE: 54.240,69 eura,</w:t>
      </w:r>
    </w:p>
    <w:p>
      <w:pPr>
        <w:jc w:val="both"/>
      </w:pPr>
      <w:r>
        <w:t xml:space="preserve">4.      CROCODILLE 2: 44.349,83 eura.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zateznih kamata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3.453.360,91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Pr>
      <w:r>
        <w:t xml:space="preserve">Primici od zateznih kamata se u njavećem dijelu odnose na kamate po presudi iz spora s Požeško-slavonskom županijom u iznosu od 3,44 milijuna eura.</w:t>
      </w:r>
    </w:p>
    <w:p>
      <w:pPr>
        <w:jc w:val="both"/>
      </w:pPr>
      <w:r>
        <w:t xml:space="preserve">Hrvatske ceste d.o.o. bile su sudužnik po Ugovoru o dugoročnom kreditu uz valutnu klauzulu broj 10076968/02 od 23. listopada 2002. godine, sklopljenom između banke i Županijske uprave za ceste Požeško-slavonske županije kao glavnog dužnika.</w:t>
      </w:r>
    </w:p>
    <w:p>
      <w:pPr>
        <w:jc w:val="both"/>
      </w:pPr>
      <w:r>
        <w:t xml:space="preserve">S obzirom na to da ŽUC Požeško-slavonske županije nije podmirivao dospjele obveze po kreditu, banka je, sukladno odredbama ugovora, proglasila prijevremenu dospjelost cjelokupnog preostalog iznosa kredita te je potraživanje naplatila od Hrvatskih cesta d.o.o. kao sudužnika.</w:t>
      </w:r>
    </w:p>
    <w:p>
      <w:pPr>
        <w:jc w:val="both"/>
      </w:pPr>
      <w:r>
        <w:t xml:space="preserve">Nakon izvršene naplate garancije po kreditu 2011. godine, Hrvatske ceste d.o.o. su prema ŽUC-u Požeško-slavonske županije iskazale regresno potraživanje u visini podmirenog duga. Budući da je ŽUC naknadno otišao u stečaj, njegove obveze prema Hrvatskim cestama preuzela je Požeško-slavonska županija kao osnivač ŽUC-a.</w:t>
      </w:r>
    </w:p>
    <w:p>
      <w:pPr>
        <w:jc w:val="both"/>
      </w:pPr>
      <w:r>
        <w:t xml:space="preserve">Uplatom Požeško-slavonske županije obveza prema Hrvatskim cestama d.o.o. u cijelosti je podmirena.</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ceste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3.360.017,86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3.767.443,99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Primici od naknada za ceste se odnose na:</w:t>
      </w:r>
    </w:p>
    <w:p>
      <w:r>
        <w:t xml:space="preserve">1.      Naknade za korištenje cestovnog zemljišta: 2,10 milijuna eura</w:t>
      </w:r>
    </w:p>
    <w:p>
      <w:r>
        <w:t xml:space="preserve">2.      Naknade za izvanredni prijevoz  (dozvole i suglasnosti): 1,55 milijuna eura</w:t>
      </w:r>
    </w:p>
    <w:p>
      <w:r>
        <w:t xml:space="preserve">3.      Naknada za kontrolu izvanrednog prijevoza: 0,12 milijuna eura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2.776.552,42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1.983.972,41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w:t>
            </w:r>
          </w:p>
        </w:tc>
      </w:tr>
    </w:tbl>
    <w:p>
      <w:pPr>
        <w:spacing w:before="0" w:after="0"/>
      </w:pPr>
    </w:p>
    <w:p>
      <w:pPr>
        <w:jc w:val="both"/>
      </w:pPr>
      <w:r>
        <w:t xml:space="preserve">Prihodi poslovanja po posebnim propisima iznose 1,98 milijuna eura te su ostvareni znatno manje nego u istom razdoblju prošle godine, a odnose se na prihod od sufinanciranja koji, ukoliko je ugovoren, ovisi o dinamici izvršenih radova na gradilištu.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891.236,29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4.526.935,95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507,9</w:t>
            </w:r>
          </w:p>
        </w:tc>
      </w:tr>
    </w:tbl>
    <w:p>
      <w:pPr>
        <w:spacing w:before="0" w:after="0"/>
      </w:pPr>
    </w:p>
    <w:p>
      <w:pPr>
        <w:jc w:val="both"/>
      </w:pPr>
      <w:r>
        <w:t xml:space="preserve">Kazne, upravni prihodi i  ostali prihodi odnose se na penale, naknade štete po sudskim presudama i od osiguranja, naplate otpisanih potraživanja i ostale neznatne prihode. Najveći iznos odnosi se na primitke s osonove presude u sporu s Požeško-slavonskom županijom u iznosu od  3,04 milijuna eura.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20.936.947,03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22.744.956,11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bl>
    <w:p>
      <w:pPr>
        <w:spacing w:before="0" w:after="0"/>
      </w:pPr>
    </w:p>
    <w:p>
      <w:r>
        <w:t xml:space="preserve">Rashodi za zaposlene iznose 22,74 milijuna eura i veći su za 8,6 %. Povećanje je rezultat izmjene prava radnika Izmjenama i dopunama Kolektivnog ugovora.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101.078.612,13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110.339.124,61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pPr>
        <w:jc w:val="both"/>
      </w:pPr>
      <w:r>
        <w:t xml:space="preserve">Primici s osnove usluga tekućeg i investicijskog održavanja se odnose na:</w:t>
      </w:r>
    </w:p>
    <w:p>
      <w:pPr>
        <w:jc w:val="both"/>
      </w:pPr>
      <w:r>
        <w:t xml:space="preserve">1.       Redovito održavanje cesta i objekata: 97,83 milijuna eura</w:t>
      </w:r>
    </w:p>
    <w:p>
      <w:pPr>
        <w:jc w:val="both"/>
      </w:pPr>
      <w:r>
        <w:t xml:space="preserve">2.        Izvanredno održavanje cesta: 7,29 milijuna eura</w:t>
      </w:r>
    </w:p>
    <w:p>
      <w:pPr>
        <w:jc w:val="both"/>
      </w:pPr>
      <w:r>
        <w:t xml:space="preserve">3.       Održavanje zgrada i opreme: 5,22 milijuna eura</w:t>
      </w:r>
    </w:p>
    <w:p>
      <w:pPr>
        <w:jc w:val="both"/>
      </w:pPr>
      <w:r>
        <w:t xml:space="preserve"> </w:t>
      </w:r>
    </w:p>
    <w:p>
      <w:pPr>
        <w:jc w:val="both"/>
      </w:pPr>
      <w:r>
        <w:t xml:space="preserve">U odnosu na prethodnu godinu povećanje se odnosi na stavku redovitog održavanja državnih cesta.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1.196.913,31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1.568.395,55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w:t>
            </w:r>
          </w:p>
        </w:tc>
      </w:tr>
    </w:tbl>
    <w:p>
      <w:pPr>
        <w:spacing w:before="0" w:after="0"/>
      </w:pPr>
    </w:p>
    <w:p>
      <w:r>
        <w:t xml:space="preserve">Pomoći unutar općeg proračuna iznose 1,57 milijuna eura odnose se na sufinanciranje zimske službe na nerazvrstanim cestama.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802.169,49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781.395,14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w:t>
            </w:r>
          </w:p>
        </w:tc>
      </w:tr>
    </w:tbl>
    <w:p>
      <w:pPr>
        <w:spacing w:before="0" w:after="0"/>
      </w:pPr>
    </w:p>
    <w:p>
      <w:pPr>
        <w:jc w:val="both"/>
      </w:pPr>
      <w:r>
        <w:t xml:space="preserve">Rashodi za kazne, penale i naknade šteta pravnim i fizičkim osobama iznose 0,78 milijuna eura  te se odnose na tekuće donacije u novcu i kazne, penale i naknade štete. Neznatno su manji od realizacije iz istog razdoblja prošle godine.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neproizvedene dugotrajne imovine (šifre 711+712)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58.512,52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458,9</w:t>
            </w:r>
          </w:p>
        </w:tc>
      </w:tr>
    </w:tbl>
    <w:p>
      <w:pPr>
        <w:spacing w:before="0" w:after="0"/>
      </w:pPr>
    </w:p>
    <w:p>
      <w:r>
        <w:t xml:space="preserve">Prihodi od prodaje neproizvedene dugotrajne imovine iznosi 0,58 milijuna eura, a odnose se na prodaju zemljišta.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316.374,11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267.718,47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w:t>
            </w:r>
          </w:p>
        </w:tc>
      </w:tr>
    </w:tbl>
    <w:p>
      <w:pPr>
        <w:spacing w:before="0" w:after="0"/>
      </w:pPr>
    </w:p>
    <w:p>
      <w:pPr>
        <w:jc w:val="both"/>
      </w:pPr>
      <w:r>
        <w:t xml:space="preserve">Prihodi od prodaje proizvedene dugotrajne imovine iznose 0,27 milijuna eura, a odnose se na prodaju poslovnih i stambenih objekata te u manjem iznosu na naplatu potraživanja za stanove koji su bili u društvenom vlasništvu.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17.132.664,18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38.073.535,87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222,2</w:t>
            </w:r>
          </w:p>
        </w:tc>
      </w:tr>
    </w:tbl>
    <w:p>
      <w:pPr>
        <w:spacing w:before="0" w:after="0"/>
      </w:pPr>
    </w:p>
    <w:p>
      <w:pPr>
        <w:jc w:val="both"/>
      </w:pPr>
      <w:r>
        <w:t xml:space="preserve">Ukupni rashodi za nabavu nefinancijske materijalne imovine – zemljišta odnose se na otkup zemljišta za izgradnju državnih cesta koji ovisi o dinamici izgradnje istih te bilježi povećanje u odnosu na isti period prethodne godine.</w:t>
      </w:r>
    </w:p>
    <w:p>
      <w:pPr>
        <w:jc w:val="both"/>
      </w:pPr>
      <w:r>
        <w:t xml:space="preserve">Najveći iznosi se odnose na otkup zemljišta za projekte:</w:t>
      </w:r>
    </w:p>
    <w:p>
      <w:pPr>
        <w:jc w:val="both"/>
      </w:pPr>
      <w:r>
        <w:t xml:space="preserve">1.      Stobreč-Dugi Rat-Omiš D8: 18,72 milijuna eura,</w:t>
      </w:r>
    </w:p>
    <w:p>
      <w:pPr>
        <w:jc w:val="both"/>
      </w:pPr>
      <w:r>
        <w:t xml:space="preserve">2.      Brza cesta Bjelovar-Virovitica-GP: 3,98 milijuna eura,</w:t>
      </w:r>
    </w:p>
    <w:p>
      <w:pPr>
        <w:jc w:val="both"/>
      </w:pPr>
      <w:r>
        <w:t xml:space="preserve">3.      Brza cesta Varaždin-Ivanec-Krapina: 1,78 milijuna eura,</w:t>
      </w:r>
    </w:p>
    <w:p>
      <w:pPr>
        <w:jc w:val="both"/>
      </w:pPr>
      <w:r>
        <w:t xml:space="preserve">4.      Brza cesta Šibenik-čvor Mandalina: 1,41 milijuna eura.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230.729.319,38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248.095.550,92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bl>
    <w:p>
      <w:pPr>
        <w:spacing w:before="0" w:after="0"/>
      </w:pPr>
    </w:p>
    <w:p>
      <w:pPr>
        <w:jc w:val="both"/>
      </w:pPr>
      <w:r>
        <w:t xml:space="preserve">Rashodi za građevinske objekte (izgradnja, investicijsko održavanje i rekonstrukcija državnih cesta) iznose 248,10 milijuna eura te su veći za 17,37 milijuna eura u odnosu na prethodnu godinu.</w:t>
      </w:r>
    </w:p>
    <w:p>
      <w:pPr>
        <w:jc w:val="both"/>
      </w:pPr>
      <w:r>
        <w:t xml:space="preserve">Najveći iznosi se odnose na ulagnja u projekte:</w:t>
      </w:r>
    </w:p>
    <w:p>
      <w:pPr>
        <w:jc w:val="both"/>
      </w:pPr>
      <w:r>
        <w:t xml:space="preserve">1.      Stobreč-Dugi Rat-Omiš D8: 21,60 milijuna eura</w:t>
      </w:r>
    </w:p>
    <w:p>
      <w:pPr>
        <w:jc w:val="both"/>
      </w:pPr>
      <w:r>
        <w:t xml:space="preserve">2.      Čvor Vučevica na A1-čvor na D8: 15,76 milijuna eura</w:t>
      </w:r>
    </w:p>
    <w:p>
      <w:pPr>
        <w:jc w:val="both"/>
      </w:pPr>
      <w:r>
        <w:t xml:space="preserve">3.      Okučani - Stara Gradiška: 15,45 milijuna eura</w:t>
      </w:r>
    </w:p>
    <w:p>
      <w:pPr>
        <w:jc w:val="both"/>
      </w:pPr>
      <w:r>
        <w:t xml:space="preserve">4.      BC Bjelovar-Virovitica-GP: 14,14 milijuna eura</w:t>
      </w:r>
    </w:p>
    <w:p>
      <w:pPr>
        <w:jc w:val="both"/>
      </w:pPr>
      <w:r>
        <w:t xml:space="preserve">5.      Rekonstrukcija DC34 od Podravske Moslavine do Sv.Đurađa, bez obil. Donjeg Miholjca:     11,01 milijuna eura</w:t>
      </w:r>
    </w:p>
    <w:p>
      <w:pPr>
        <w:jc w:val="both"/>
      </w:pPr>
      <w:r>
        <w:t xml:space="preserve">6.      BC Vrbovec-Križ.-Koprivnica-Gola D10: 10,38 milijuna eura</w:t>
      </w:r>
    </w:p>
    <w:p>
      <w:pPr>
        <w:jc w:val="both"/>
      </w:pPr>
      <w:r>
        <w:t xml:space="preserve">7.      Obilaznica Vukovara D2:  7,58 milijuna eura</w:t>
      </w:r>
    </w:p>
    <w:p>
      <w:pPr>
        <w:jc w:val="both"/>
      </w:pPr>
      <w:r>
        <w:t xml:space="preserve">8.      Obilaznica Preloga: 6,60 milijuna eura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1.638.748,49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531.459,42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w:t>
            </w:r>
          </w:p>
        </w:tc>
      </w:tr>
    </w:tbl>
    <w:p>
      <w:pPr>
        <w:spacing w:before="0" w:after="0"/>
      </w:pPr>
    </w:p>
    <w:p>
      <w:pPr>
        <w:jc w:val="both"/>
      </w:pPr>
      <w:r>
        <w:t xml:space="preserve">Rashodi za instrumente, uređaje i strojeve su manji u odnosu na prethodnu godinu. Odnose se na rashode za WIM uređaje i vage za mjerenje osovinskog opterećenja, brojila prometa, opremu na cesti, mjerne uređaje, lanterne, meteorološke postaje i alate.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1.239.152,93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498.522,56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w:t>
            </w:r>
          </w:p>
        </w:tc>
      </w:tr>
    </w:tbl>
    <w:p>
      <w:pPr>
        <w:spacing w:before="0" w:after="0"/>
      </w:pPr>
    </w:p>
    <w:p>
      <w:pPr>
        <w:jc w:val="both"/>
      </w:pPr>
      <w:r>
        <w:t xml:space="preserve">Rashodi za ulaganja u računalne programe u 2025. odnose se na:</w:t>
      </w:r>
    </w:p>
    <w:p>
      <w:pPr>
        <w:jc w:val="both"/>
      </w:pPr>
      <w:r>
        <w:t xml:space="preserve">1.      Sustav za upravljanje dokumentacijom: 209.748,32 eura</w:t>
      </w:r>
    </w:p>
    <w:p>
      <w:pPr>
        <w:jc w:val="both"/>
      </w:pPr>
      <w:r>
        <w:t xml:space="preserve">2.      Poslovni informacijski sustav: 133.600,40 eura</w:t>
      </w:r>
    </w:p>
    <w:p>
      <w:pPr>
        <w:jc w:val="both"/>
      </w:pPr>
      <w:r>
        <w:t xml:space="preserve">3.      Sustav za upravljanje projektima: 90.820,00 eura</w:t>
      </w:r>
    </w:p>
    <w:p>
      <w:pPr>
        <w:jc w:val="both"/>
      </w:pPr>
      <w:r>
        <w:t xml:space="preserve">4.      Evidencija rada: 26.496,00 eura</w:t>
      </w:r>
    </w:p>
    <w:p>
      <w:pPr>
        <w:jc w:val="both"/>
      </w:pPr>
      <w:r>
        <w:t xml:space="preserve">5.      Informatika: 21.560,00 eura</w:t>
      </w:r>
    </w:p>
    <w:p>
      <w:pPr>
        <w:jc w:val="both"/>
      </w:pPr>
      <w:r>
        <w:t xml:space="preserve">6.      Centar za kontrolu prometa Sv. Ilija na DC76: 11.850,00 eura</w:t>
      </w:r>
    </w:p>
    <w:p>
      <w:pPr>
        <w:jc w:val="both"/>
      </w:pPr>
      <w:r>
        <w:t xml:space="preserve">7.      SCNUP Središnji centar za nadzor i upravljanje prometom: 4.447,84 eura</w:t>
      </w:r>
    </w:p>
    <w:p>
      <w:pPr>
        <w:jc w:val="both"/>
      </w:pPr>
      <w:r>
        <w:t xml:space="preserve">U odnosu na prethodnu godinu smanjena su ulaganja u poslovne informacijske sustave i sustav za upravljanje dokumentacijom.</w:t>
      </w:r>
    </w:p>
    <w:p>
      <w:pPr>
        <w:jc w:val="both"/>
      </w:pPr>
      <w:r>
        <w:t xml:space="preserv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461.461.100,70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403.392.593,04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w:t>
            </w:r>
          </w:p>
        </w:tc>
      </w:tr>
    </w:tbl>
    <w:p>
      <w:pPr>
        <w:spacing w:before="0" w:after="0"/>
      </w:pPr>
    </w:p>
    <w:p>
      <w:r>
        <w:t xml:space="preserve">U 2025. zadužili smo se za 403,39 milijuna eura temeljem kredita od tuzemnih kreditnih institucija izvan javnog sektora.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360.443.917,40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257.713.755,12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w:t>
            </w:r>
          </w:p>
        </w:tc>
      </w:tr>
    </w:tbl>
    <w:p>
      <w:pPr>
        <w:spacing w:before="0" w:after="0"/>
      </w:pPr>
    </w:p>
    <w:p>
      <w:r>
        <w:t xml:space="preserve">U 2025. otplatili smo glavnice kredita u iznosu od 257,71 milijun eura.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10.648.306.127,46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10.766.367.632,29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bl>
    <w:p>
      <w:pPr>
        <w:spacing w:before="0" w:after="0"/>
      </w:pPr>
    </w:p>
    <w:p>
      <w:pPr>
        <w:jc w:val="both"/>
      </w:pPr>
      <w:r>
        <w:t xml:space="preserve">Nefinancijska imovina u iznosu 10.766,37 milijuna eura veća je za 118,06 milijuna eura kuna ili 1,11 %. Povećanje je rezultat ulaganja u neproizvedenu i proizvedenu dugotrajnu imovinu, umanjenja za obračunatu amortizacije te povećanja imovine razlikom između uknjiženja i isknjiženja državnih cesta temeljem Odluke o razvrstavanju cesta. </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169.702.046,17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101.256.869,72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w:t>
            </w:r>
          </w:p>
        </w:tc>
      </w:tr>
    </w:tbl>
    <w:p>
      <w:pPr>
        <w:spacing w:before="0" w:after="0"/>
      </w:pPr>
    </w:p>
    <w:p>
      <w:pPr>
        <w:jc w:val="both"/>
      </w:pPr>
      <w:r>
        <w:t xml:space="preserve">Financijska imovina u iznosu 101,26 milijuna eura u odnosu na prethodnu godinu manja je za 68,45 milijuna eura ili 40,33 % kao posljedica smanjenja depozitnih sredstava kod kreditnih i ostalih financijskih institucija i vrijednosnog usklađenja potraživanja prema državnom proračunu za naknadu iz trošarine na energente (pozicija 129). </w:t>
      </w:r>
    </w:p>
    <w:p>
      <w:pPr>
        <w:jc w:val="both"/>
      </w:pPr>
      <w:r>
        <w:t xml:space="preserv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117.784.526,26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Sukladno odredbama članka 86. stavka 1. točke 11. te članka 91. stavaka 1. i 2. Zakona o cestama, Hrvatske ceste d.o.o. ostvaruju pravo na naknadu za financiranje građenja i održavanja javnih cesta koja se isplaćuje iz državnog proračuna po litri naplaćene trošarine na energente, u iznosu od 0,11 eura po litri (u daljnjem tekstu: Naknada).</w:t>
      </w:r>
    </w:p>
    <w:p>
      <w:r>
        <w:t xml:space="preserve">Izmjenama Zakona o cestama, sukladno članku 91. stavku 3., dodatno je propisano da se Naknada od 2022. godine isplaćuje Društvu najviše do iznosa osiguranog u državnom proračunu za pojedinu proračunsku godinu, čime je isplata predmetne Naknade izravno vezana uz raspoloživa proračunska sredstva, pri čemu je u Zakonu i dalje propisano pravo Društva na Naknadu sukladno stavcima 1. i 2. navedenog članka.</w:t>
      </w:r>
    </w:p>
    <w:p>
      <w:r>
        <w:t xml:space="preserve">Međutim, kao što je navedeno u godišnjim financijskim izvještajima Društva, Naknada je u razdoblju od 2022. do 2024. godine i dalje knjižena po obračunskom načelu, na temelju mjesečnih obračuna odnosno izvješća Carinske uprave o količinama motornih benzina i plinskih ulja za pogon na koje je naplaćena trošarina, odnosno na koje se odnosi predmetna Naknada uplaćena u državni proračun. Također, Društvo je i tijekom 2025. godine nastavilo knjižiti obračun pripadajućeg dijela Naknade na temelju dostavljenih obračuna Carinske uprave, sukladno načelu nastanka poslovnog događaja.</w:t>
      </w:r>
    </w:p>
    <w:p>
      <w:r>
        <w:t xml:space="preserve">Ukupan iznos potraživanja Društva prema državnom proračunu s osnove Naknade, za razdoblje od 1. siječnja 2022. do 31. prosinca 2025. godine, iznosi 147.559.104,87 eura.</w:t>
      </w:r>
    </w:p>
    <w:p>
      <w:r>
        <w:t xml:space="preserve"> </w:t>
      </w:r>
    </w:p>
    <w:p>
      <w:r>
        <w:t xml:space="preserve">Radi pravilnog prikaza predmetnog potraživanja u financijskim izvještajima Društva na dan 31.12.2025. godine, u skladu s Međunarodnim standardima financijskog izvješćivanja, te s obzirom na to da nastupa zastarni rok predmetnog potraživanja i da Društvo nema alternativni način naplate osim isplate iz državnog proračuna provedeno je vrijednosno usklađenje predmetnog potraživanja na teret javnog kapitala, jer se radi o pravu koje proizlazi iz upravljanja javnim dobrom.</w:t>
      </w:r>
    </w:p>
    <w:p>
      <w:r>
        <w:t xml:space="preserve">Iako se Naknada smatra prihodom, izvor financiranja i dinamika njezine isplate isključivo su u nadležnosti Ministarstva financija, neovisno o nastupanju zastarnog roka. Društvo nema mogućnost samostalno utjecati na naplatu niti alternativni način ostvarenja potraživanja, već isključivo pravo koje se realizira sukladno proračunskim odlukama. Slijedom navedenog, vrijednosno usklađenje ne predstavlja trošak redovnog poslovanja, već se opravdano evidentira na teret javnog kapitala, pri čemu se eventualne buduće naplate priznaju izravno u javnom kapitalu. </w:t>
      </w:r>
    </w:p>
    <w:p>
      <w:r>
        <w:t xml:space="preserve">Provedbom vrijednosnog usklađenja smanjuje se iznos potraživanja u aktivi bilance uz istodobno smanjenje javnog kapitala u pasivi, bez utjecaja na ukupni rezultat u Računu dobiti i gubitka Društva.</w:t>
      </w:r>
    </w:p>
    <w:p>
      <w:r>
        <w:t xml:space="preserve">Predmetno potraživanje nije otpisano iz poslovnih knjiga Društva već se vrijednosno uskladilo zbog neizvjesne naplate koja je za iskazana potraživanja i dalje moguća. Otpis i isknjiženje potraživanja razmotriti će su u slučaju brisanja čl. 91. st. 1. i 2. Zakona o cestama jer bi u tom slučaju pravo na naknadu za financiranje građenja i održavanja u visini od 0,11 EUR po litri naplaćene trošarine na energente prestalo i svelo bi se na pravo koje je priznato u okviru proračuna Republike Hrvatske za pojedinu godinu.</w:t>
      </w:r>
    </w:p>
    <w:p>
      <w:r>
        <w:t xml:space="preserv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42.586.039,85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33.509.433,82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w:t>
            </w:r>
          </w:p>
        </w:tc>
      </w:tr>
    </w:tbl>
    <w:p>
      <w:pPr>
        <w:spacing w:before="0" w:after="0"/>
      </w:pPr>
    </w:p>
    <w:p>
      <w:pPr>
        <w:jc w:val="both"/>
      </w:pPr>
      <w:r>
        <w:t xml:space="preserve">Obveze za rashode poslovanja iznose 33,51 milijun eura te su manje za 9,08 milijuna eura u odnosu na prethodnu godinu. Odnose se na obveze za zaposlene u iznosu od 1,33 milijuna eura, obveze za kamate naprimljene kredite i zajmove u iznosu od 17,46 milijuna eurate ostale tekuće obveze u iznosu od 14,71 miljuna eura.</w:t>
      </w:r>
    </w:p>
    <w:p>
      <w:r>
        <w:t xml:space="preserv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27.437.231,47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33.571.867,54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pPr>
        <w:jc w:val="both"/>
      </w:pPr>
      <w:r>
        <w:t xml:space="preserve">Obveze za nabavu nefinancijske imovine iznose 33,57 milijuna eura i veće su za 6,13 milijuna eura u odnosu na prethodnu godinu. </w:t>
      </w:r>
    </w:p>
    <w:p>
      <w:r>
        <w:t xml:space="preserv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(šifre 26X1+26X2)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1.442.499.768,75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1.588.178.606,67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w:t>
            </w:r>
          </w:p>
        </w:tc>
      </w:tr>
    </w:tbl>
    <w:p>
      <w:pPr>
        <w:spacing w:before="0" w:after="0"/>
      </w:pPr>
    </w:p>
    <w:p>
      <w:pPr>
        <w:jc w:val="both"/>
      </w:pPr>
      <w:r>
        <w:t xml:space="preserve">Obveze za kredite iznose 1.588,18 milijuna eura i veće su za 145,68 milijuna eura u odnosu na prethodnu godinu.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Naplaćeni prihodi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513.204.462,72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514.719.740,86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pPr>
        <w:jc w:val="both"/>
      </w:pPr>
      <w:r>
        <w:t xml:space="preserve">Prihod budućih razdoblja u iznosu 514,72 milijuna eura veći je za 1,52 milijuna eura, a odnosi se na odgođeno priznavanja prihoda za projekte financirane iz EU sredstava na dan 31.12.2025. godine. Navedeni prihod povećava se novim doznakama za projekte financirane iz EU fondova, a umanjuje za amortizaciju državnih cesta za završene projekate prenesene u upotrebu.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8.784.089.206,94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8.681.688.275,41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w:t>
            </w:r>
          </w:p>
        </w:tc>
      </w:tr>
    </w:tbl>
    <w:p>
      <w:pPr>
        <w:spacing w:before="0" w:after="0"/>
      </w:pPr>
    </w:p>
    <w:p>
      <w:pPr>
        <w:jc w:val="both"/>
      </w:pPr>
      <w:r>
        <w:t xml:space="preserve">Unutar stvake Vlastiti izvori uračunate su i potencijalne obveze po osnovi sudskih sporova (rezervacije). Odredbe računovodstvene primjene dugoročnog rezerviranja za troškove i određene rizike određene su MRS 37 – Rezerviranja. U skladu s tim odredbama Društvo rezervira sredstva po započetim sudskim sporovima na temelju procjene na datum Bilance tako da odražavaju najbolju tekuću procjenu Sektora za pravne poslove, poslove ljudskih resursa i opće poslove. Stanje potencijalnih obveza po osnovi sudskih postupaka na dan 31.12.2025. iznosi 11,01 milijuna eura, a odnosi se na procijenjenu vrijednost predmeta spora za naknadu šteta nastalih zbog propusta u održavanju državnih cesta, prometnih nezgoda uslijed gradnje cesta, zauzimanje zemljišta prilikom gradnje te na ostale sporove po pitanju vlasništva, radnih sporova i ostalo.</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1.379.271,84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1.373.569,24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w:t>
            </w:r>
          </w:p>
        </w:tc>
      </w:tr>
    </w:tbl>
    <w:p>
      <w:pPr>
        <w:spacing w:before="0" w:after="0"/>
      </w:pPr>
    </w:p>
    <w:p>
      <w:pPr>
        <w:jc w:val="both"/>
      </w:pPr>
      <w:r>
        <w:t xml:space="preserve">Dospjela potraživanja iznose 1,37 milijuna eura i odnose se na prihode za korištenje cestovnog zemljišta potraživanja za sufinanciranja koja se odnose na suradnju s jedinicama lokalne samouprave, komunalnim, javnim i ostalim društvima na čijem području se vrši izgradnja ili rekonsturukcija državne ceste.</w:t>
      </w:r>
    </w:p>
    <w:p>
      <w:r>
        <w:t xml:space="preserv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434.969,90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1.904.756,17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437,9</w:t>
            </w:r>
          </w:p>
        </w:tc>
      </w:tr>
    </w:tbl>
    <w:p>
      <w:pPr>
        <w:spacing w:before="0" w:after="0"/>
      </w:pPr>
    </w:p>
    <w:p>
      <w:pPr>
        <w:jc w:val="both"/>
      </w:pPr>
      <w:r>
        <w:t xml:space="preserve">Stanje nepodmirenih dospjelih obveza iznosi 1,90 milijuna eura i odnosi se na obveze prema dobavljačima za nabavu nefinancijske imovine. </w:t>
      </w:r>
    </w:p>
    <w:p>
      <w:pPr>
        <w:jc w:val="both"/>
      </w:pPr>
      <w:r>
        <w:t xml:space="preserve">Nepodmirene dospjele obveze nastale su iz razloga zadržavanja sredstava zbog nedostatka garancija kao ugovorne obveze dobavljača u svrhu osiguranja za dobro izvršenje posla ili otklanjanje nedostataka u jamstvenom roku.</w:t>
      </w:r>
    </w:p>
    <w:p>
      <w:pPr>
        <w:jc w:val="both"/>
      </w:pPr>
      <w:r>
        <w:t xml:space="preserve">Kod neplaćanja obveza za nabavu nefinancijske imovine, osim navedenog razlog neplaćanja obveza su i razna ograničenja navedena u Zakonu o izvlaštenju. Takve obveze plaćaju se nakon završetka sudskog postupka ili sklapanja nagodbe, sukladno Zakonu o izvlaštenju.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122.994.710,39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Na dan izvještavanja iskazane su obveze u iznosu od 122,99 milijuna eura, koje se odnose na obveze za primljene predujmove, depozite i jamčevne pologe.</w:t>
      </w:r>
    </w:p>
    <w:p>
      <w:pPr>
        <w:jc w:val="both"/>
      </w:pPr>
      <w:r>
        <w:t xml:space="preserve">Najznačajniju stavku unutar ove pozicije čini unaprijed plaćena naknada iz trošarine na energente iz državnog proračuna u iznosu od 120,00 milijuna eura, što predstavlja dominantan dio ukupno iskazanih obveza. Preostali iznos odnosi se na primljene depozite (uključujući depozite umjesto garancije za građenje, rekonstrukciju i investicijske radove), jamčevne pologe te ostale predujmove evidentirane sukladno ugovornim odnosima.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1.657.475.541,57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OBVEZE NA DAN 31.12.2025. iznose 1.657,48 milijuna eura i veće su za 142,54 milijuna eura ili 9,41 % u odnosu na stanje istih na dan 31.12.2024.</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1.904.756,17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nepodmirenih dospjelih obveza iznosi 1,90 milijuna eura i odnose se na obveze prema dobavljačima za nabavu nefinancijske imovine. Nepodmirene dospjele obveze nastaju najčešće iz razloga zadržavanja sredstava zbog nedostatka garancija kao ugovorne obveze dobavljača u svrhu osiguranja za dobro izvršenje posla ili otklanjanje nedostataka u jamstvenom roku. Kod neplaćanja obveza za nabavu nefinancijske imovine, osim navedenog, razlog su i razna ograničenja navedena u Zakonu o izvlaštenju. Takve obveze plaćaju se nakon završetka sudskog postupka ili sklapanja nagodbe, sukladno Zakonu o izvlaštenju.</w:t>
      </w:r>
    </w:p>
    <w:p>
      <w:r>
        <w:t xml:space="preserve"> </w:t>
      </w:r>
    </w:p>
    <w:p/>
    <w:p>
      <w:pPr>
        <w:jc w:val="center"/>
        <w:pStyle w:val="Normal"/>
        <w:spacing w:line="240" w:lineRule="auto"/>
        <w:keepNext/>
      </w:pPr>
      <w:r>
        <w:rPr>
          <w:sz w:val="28"/>
          <w:rFonts w:ascii="Times New Roman" w:hAnsi="Times New Roman"/>
        </w:rPr>
        <w:t xml:space="preserve">Bilješka 35.</w:t>
      </w:r>
    </w:p>
    <w:p>
      <w:pPr>
        <w:jc w:val="both"/>
        <w:pStyle w:val="Normal"/>
        <w:spacing w:line="240" w:lineRule="auto"/>
      </w:pPr>
      <w:r>
        <w:rPr>
          <w:b/>
          <w:sz w:val="24"/>
          <w:rFonts w:ascii="Times New Roman" w:hAnsi="Times New Roman"/>
        </w:rPr>
        <w:t xml:space="preserve">EU izvještaj</w:t>
      </w:r>
    </w:p>
    <w:p>
      <w:pPr>
        <w:jc w:val="both"/>
      </w:pPr>
      <w:r>
        <w:rPr>
          <w:b/>
        </w:rPr>
        <w:t xml:space="preserve">Prihodi i primici</w:t>
      </w:r>
      <w:r>
        <w:br/>
      </w:r>
      <w:r>
        <w:t xml:space="preserve">U 2025. godini realizirano je 23,79 milijuna eura primitaka po projektima financiranim iz EU i nacionalnih izvora. Uz navedeno, evidentiran je primljeni predujam u iznosu od 132,53 tisuće eura, koji je na dan 31.12.2025. iskazan na obvezama (konto 2751).</w:t>
      </w:r>
    </w:p>
    <w:p>
      <w:pPr>
        <w:jc w:val="both"/>
      </w:pPr>
      <w:r>
        <w:rPr>
          <w:b/>
        </w:rPr>
        <w:t xml:space="preserve">Rashodi i izdaci</w:t>
      </w:r>
      <w:r>
        <w:br/>
      </w:r>
      <w:r>
        <w:t xml:space="preserve">Ukupna realizacija rashoda i izdataka vezanih uz EU projekte u 2025. godini iznosi 26,47 milijuna eura. Od toga se 26,43 milijuna eura odnosi na nabavu nefinancijske imovine, pri čemu je najveći dio, u iznosu od 26,08 milijuna eura, realiziran na projektu Mravince – Čvor TTTS. Ulaganja u ostalu nefinancijsku imovinu odnose se na nabavu softvera u iznosu od 63,29 tisuća eura. Rashodi poslovanja iznose 36,57 tisuća eura i odnose se na plaće radnika angažiranih na provedbi projekata.</w:t>
      </w:r>
    </w:p>
    <w:p>
      <w:pPr>
        <w:jc w:val="both"/>
      </w:pPr>
      <w:r>
        <w:rPr>
          <w:b/>
        </w:rPr>
        <w:t xml:space="preserve">Obračunati prihodi i stanje potraživanja na dan 31.12.2025.</w:t>
      </w:r>
      <w:r>
        <w:br/>
      </w:r>
      <w:r>
        <w:t xml:space="preserve">Tijekom 2025. godine knjiženi su zahtjevi za nadoknadom sredstava u ukupnom iznosu od 24,84 milijuna eura, dok je realizirano 23,79 milijuna eura. Potraživanja za obračunate prihode na dan 31.12.2025. iznose 1,05 milijuna eura, od čega se 982,51 tisuća eura odnosi na projekt Mravince – Čvor TTTS, a 66,60 tisuća eura na projekt Napcore Move.</w:t>
      </w:r>
    </w:p>
    <w:p>
      <w:pPr>
        <w:jc w:val="both"/>
      </w:pPr>
      <w:r>
        <w:rPr>
          <w:b/>
        </w:rPr>
        <w:t xml:space="preserve">Obveze i predujmovi</w:t>
      </w:r>
      <w:r>
        <w:br/>
      </w:r>
      <w:r>
        <w:t xml:space="preserve">Obveze za EU predujmove na dan 31.12.2025. iznose 132,53 tisuće eura i odnose se na projekt Napcore X.</w:t>
      </w:r>
      <w:r>
        <w:br/>
      </w:r>
      <w:r>
        <w:t xml:space="preserve">Primljeni predujmovi iz prethodnih godina vode se u izvanbilančnoj evidenciji u ukupnom iznosu od 1.234.794,83 eura, i to:</w:t>
      </w:r>
    </w:p>
    <w:p>
      <w:pPr>
        <w:jc w:val="both"/>
      </w:pPr>
      <w:r>
        <w:t xml:space="preserve">·         423.873,53 eura – ostatak predujma uplaćen 7.3.2024. od strane Austria Tech GmbH za projekt X4ITS,</w:t>
      </w:r>
    </w:p>
    <w:p>
      <w:pPr>
        <w:jc w:val="both"/>
      </w:pPr>
      <w:r>
        <w:t xml:space="preserve">·         810.921,30 eura – predujam uplaćen 28.4.2023. od strane European Commission za projekt HC-TC-Safety on Ten-T Roads.</w:t>
      </w:r>
    </w:p>
    <w:p>
      <w:pPr>
        <w:jc w:val="both"/>
      </w:pPr>
      <w:r>
        <w:rPr>
          <w:b/>
        </w:rPr>
        <w:t xml:space="preserve">Izvanbilančni zapisi – ugovori o dodjeli bespovratnih sredstava</w:t>
      </w:r>
      <w:r>
        <w:br/>
      </w:r>
      <w:r>
        <w:t xml:space="preserve">Ukupno ugovorena vrijednost EU projekata iznosi 82,77 milijuna eura. Do 31.12.2025. odobreno je 24,60 milijuna eura, dok preostalo potraživanje po ugovorima iznosi 58,17 milijuna eura. Najznačajniji projekt je Mravince – Čvor TTTS s ugovorenih 78,22 milijuna eura, od čega je odobreno 24,45 milijuna eura, dok preostalo potraživanje iznosi 53,77 milijuna eura. Ostali projekti (X4ITS, Safety on Ten-T Roads, Napcore Move, Napcore X, Tisgrade i Danubridge Connect) zajedno čine 4,55 milijuna eura ugovorene vrijednosti, s preostalim potraživanjem od 4,40 milijuna eura na dan 31.12.2025.</w:t>
      </w:r>
    </w:p>
    <w:tbl>
      <w:tblPr>
        <w:tblStyle w:val="TableGrid"/>
        <w:tblW w:w="3521.325" w:type="pct"/>
      </w:tblPr>
      <w:tblGrid>
        <w:gridCol w:w="921"/>
        <w:gridCol w:w="2154"/>
        <w:gridCol w:w="1613"/>
        <w:gridCol w:w="1613"/>
        <w:gridCol w:w="3323"/>
      </w:tblGrid>
      <w:tr>
        <w:trPr>
          <w:trHeight w:val="878" w:hRule="atLeast"/>
        </w:trPr>
        <w:tc>
          <w:tcPr>
            <w:tcW w:w="478" w:type="pct"/>
            <w:vAlign w:val="center"/>
          </w:tcPr>
          <w:p>
            <w:r>
              <w:rPr>
                <w:b/>
              </w:rPr>
              <w:t xml:space="preserve">Redni broj</w:t>
            </w:r>
          </w:p>
        </w:tc>
        <w:tc>
          <w:tcPr>
            <w:tcW w:w="1119" w:type="pct"/>
            <w:vAlign w:val="center"/>
          </w:tcPr>
          <w:p>
            <w:r>
              <w:rPr>
                <w:b/>
              </w:rPr>
              <w:t xml:space="preserve">Naziv projekta</w:t>
            </w:r>
          </w:p>
        </w:tc>
        <w:tc>
          <w:tcPr>
            <w:tcW w:w="837" w:type="pct"/>
            <w:vAlign w:val="center"/>
          </w:tcPr>
          <w:p>
            <w:r>
              <w:rPr>
                <w:b/>
              </w:rPr>
              <w:t xml:space="preserve">UGOVORENO</w:t>
            </w:r>
          </w:p>
        </w:tc>
        <w:tc>
          <w:tcPr>
            <w:tcW w:w="837" w:type="pct"/>
            <w:vAlign w:val="center"/>
          </w:tcPr>
          <w:p>
            <w:r>
              <w:rPr>
                <w:b/>
              </w:rPr>
              <w:t xml:space="preserve">ODOBRENO</w:t>
            </w:r>
          </w:p>
        </w:tc>
        <w:tc>
          <w:tcPr>
            <w:tcW w:w="1726" w:type="pct"/>
            <w:vAlign w:val="center"/>
          </w:tcPr>
          <w:p>
            <w:r>
              <w:rPr>
                <w:b/>
              </w:rPr>
              <w:t xml:space="preserve">potraživanje na 31.12.2025.</w:t>
            </w:r>
          </w:p>
        </w:tc>
      </w:tr>
      <w:tr>
        <w:trPr>
          <w:trHeight w:val="542" w:hRule="atLeast"/>
        </w:trPr>
        <w:tc>
          <w:tcPr>
            <w:tcW w:w="478" w:type="pct"/>
            <w:vAlign w:val="center"/>
          </w:tcPr>
          <w:p>
            <w:r>
              <w:t xml:space="preserve">1.</w:t>
            </w:r>
          </w:p>
        </w:tc>
        <w:tc>
          <w:tcPr>
            <w:tcW w:w="1119" w:type="pct"/>
            <w:vAlign w:val="center"/>
          </w:tcPr>
          <w:p>
            <w:r>
              <w:t xml:space="preserve">Čvor MRAVINCE-Čvor TTTS </w:t>
            </w:r>
          </w:p>
        </w:tc>
        <w:tc>
          <w:tcPr>
            <w:tcW w:w="837" w:type="pct"/>
            <w:vAlign w:val="center"/>
          </w:tcPr>
          <w:p>
            <w:r>
              <w:t xml:space="preserve">78.216.732,22</w:t>
            </w:r>
          </w:p>
        </w:tc>
        <w:tc>
          <w:tcPr>
            <w:tcW w:w="837" w:type="pct"/>
            <w:vAlign w:val="center"/>
          </w:tcPr>
          <w:p>
            <w:r>
              <w:t xml:space="preserve">24.447.525,58</w:t>
            </w:r>
          </w:p>
        </w:tc>
        <w:tc>
          <w:tcPr>
            <w:tcW w:w="1726" w:type="pct"/>
            <w:vAlign w:val="center"/>
          </w:tcPr>
          <w:p>
            <w:r>
              <w:t xml:space="preserve">53.769.206,64</w:t>
            </w:r>
          </w:p>
        </w:tc>
      </w:tr>
      <w:tr>
        <w:trPr>
          <w:trHeight w:val="542" w:hRule="atLeast"/>
        </w:trPr>
        <w:tc>
          <w:tcPr>
            <w:tcW w:w="478" w:type="pct"/>
            <w:vAlign w:val="center"/>
          </w:tcPr>
          <w:p>
            <w:r>
              <w:t xml:space="preserve">2.</w:t>
            </w:r>
          </w:p>
        </w:tc>
        <w:tc>
          <w:tcPr>
            <w:tcW w:w="1119" w:type="pct"/>
            <w:vAlign w:val="center"/>
          </w:tcPr>
          <w:p>
            <w:r>
              <w:t xml:space="preserve">X4ITS PROJEKT</w:t>
            </w:r>
          </w:p>
        </w:tc>
        <w:tc>
          <w:tcPr>
            <w:tcW w:w="837" w:type="pct"/>
            <w:vAlign w:val="center"/>
          </w:tcPr>
          <w:p>
            <w:r>
              <w:t xml:space="preserve">1.250.000,00</w:t>
            </w:r>
          </w:p>
        </w:tc>
        <w:tc>
          <w:tcPr>
            <w:tcW w:w="837" w:type="pct"/>
            <w:vAlign w:val="center"/>
          </w:tcPr>
          <w:p>
            <w:r>
              <w:t xml:space="preserve">13.627,47</w:t>
            </w:r>
          </w:p>
        </w:tc>
        <w:tc>
          <w:tcPr>
            <w:tcW w:w="1726" w:type="pct"/>
            <w:vAlign w:val="center"/>
          </w:tcPr>
          <w:p>
            <w:r>
              <w:t xml:space="preserve">1.236.372,53</w:t>
            </w:r>
          </w:p>
        </w:tc>
      </w:tr>
      <w:tr>
        <w:trPr>
          <w:trHeight w:val="542" w:hRule="atLeast"/>
        </w:trPr>
        <w:tc>
          <w:tcPr>
            <w:tcW w:w="478" w:type="pct"/>
            <w:vAlign w:val="center"/>
          </w:tcPr>
          <w:p>
            <w:r>
              <w:t xml:space="preserve">3.</w:t>
            </w:r>
          </w:p>
        </w:tc>
        <w:tc>
          <w:tcPr>
            <w:tcW w:w="1119" w:type="pct"/>
            <w:vAlign w:val="center"/>
          </w:tcPr>
          <w:p>
            <w:r>
              <w:t xml:space="preserve">SAFETY ON TENT ROADS</w:t>
            </w:r>
          </w:p>
        </w:tc>
        <w:tc>
          <w:tcPr>
            <w:tcW w:w="837" w:type="pct"/>
            <w:vAlign w:val="center"/>
          </w:tcPr>
          <w:p>
            <w:r>
              <w:t xml:space="preserve">2.316.918,10</w:t>
            </w:r>
          </w:p>
        </w:tc>
        <w:tc>
          <w:tcPr>
            <w:tcW w:w="837" w:type="pct"/>
            <w:vAlign w:val="center"/>
          </w:tcPr>
          <w:p>
            <w:r>
              <w:t xml:space="preserve">15.172,50</w:t>
            </w:r>
          </w:p>
        </w:tc>
        <w:tc>
          <w:tcPr>
            <w:tcW w:w="1726" w:type="pct"/>
            <w:vAlign w:val="center"/>
          </w:tcPr>
          <w:p>
            <w:r>
              <w:t xml:space="preserve">2.301.745,60</w:t>
            </w:r>
          </w:p>
        </w:tc>
      </w:tr>
      <w:tr>
        <w:trPr>
          <w:trHeight w:val="542" w:hRule="atLeast"/>
        </w:trPr>
        <w:tc>
          <w:tcPr>
            <w:tcW w:w="478" w:type="pct"/>
            <w:vAlign w:val="center"/>
          </w:tcPr>
          <w:p>
            <w:r>
              <w:t xml:space="preserve">4.</w:t>
            </w:r>
          </w:p>
        </w:tc>
        <w:tc>
          <w:tcPr>
            <w:tcW w:w="1119" w:type="pct"/>
            <w:vAlign w:val="center"/>
          </w:tcPr>
          <w:p>
            <w:r>
              <w:t xml:space="preserve">NAPCORE MOVE</w:t>
            </w:r>
          </w:p>
        </w:tc>
        <w:tc>
          <w:tcPr>
            <w:tcW w:w="837" w:type="pct"/>
            <w:vAlign w:val="center"/>
          </w:tcPr>
          <w:p>
            <w:r>
              <w:t xml:space="preserve">120.849,23</w:t>
            </w:r>
          </w:p>
        </w:tc>
        <w:tc>
          <w:tcPr>
            <w:tcW w:w="837" w:type="pct"/>
            <w:vAlign w:val="center"/>
          </w:tcPr>
          <w:p>
            <w:r>
              <w:t xml:space="preserve">120.849,23</w:t>
            </w:r>
          </w:p>
        </w:tc>
        <w:tc>
          <w:tcPr>
            <w:tcW w:w="1726" w:type="pct"/>
            <w:vAlign w:val="center"/>
          </w:tcPr>
          <w:p>
            <w:r>
              <w:t xml:space="preserve">0,00</w:t>
            </w:r>
          </w:p>
        </w:tc>
      </w:tr>
      <w:tr>
        <w:trPr>
          <w:trHeight w:val="542" w:hRule="atLeast"/>
        </w:trPr>
        <w:tc>
          <w:tcPr>
            <w:tcW w:w="478" w:type="pct"/>
            <w:vAlign w:val="center"/>
          </w:tcPr>
          <w:p>
            <w:r>
              <w:t xml:space="preserve">5.</w:t>
            </w:r>
          </w:p>
        </w:tc>
        <w:tc>
          <w:tcPr>
            <w:tcW w:w="1119" w:type="pct"/>
            <w:vAlign w:val="center"/>
          </w:tcPr>
          <w:p>
            <w:r>
              <w:t xml:space="preserve">NAPCORE X</w:t>
            </w:r>
          </w:p>
        </w:tc>
        <w:tc>
          <w:tcPr>
            <w:tcW w:w="837" w:type="pct"/>
            <w:vAlign w:val="center"/>
          </w:tcPr>
          <w:p>
            <w:r>
              <w:t xml:space="preserve">331.317,00</w:t>
            </w:r>
          </w:p>
        </w:tc>
        <w:tc>
          <w:tcPr>
            <w:tcW w:w="837" w:type="pct"/>
            <w:vAlign w:val="center"/>
          </w:tcPr>
          <w:p>
            <w:r>
              <w:t xml:space="preserve">0,00</w:t>
            </w:r>
          </w:p>
        </w:tc>
        <w:tc>
          <w:tcPr>
            <w:tcW w:w="1726" w:type="pct"/>
            <w:vAlign w:val="center"/>
          </w:tcPr>
          <w:p>
            <w:r>
              <w:t xml:space="preserve">331.317,00</w:t>
            </w:r>
          </w:p>
        </w:tc>
      </w:tr>
      <w:tr>
        <w:trPr>
          <w:trHeight w:val="542" w:hRule="atLeast"/>
        </w:trPr>
        <w:tc>
          <w:tcPr>
            <w:tcW w:w="478" w:type="pct"/>
            <w:vAlign w:val="center"/>
          </w:tcPr>
          <w:p>
            <w:r>
              <w:t xml:space="preserve">6.</w:t>
            </w:r>
          </w:p>
        </w:tc>
        <w:tc>
          <w:tcPr>
            <w:tcW w:w="1119" w:type="pct"/>
            <w:vAlign w:val="center"/>
          </w:tcPr>
          <w:p>
            <w:r>
              <w:t xml:space="preserve">TISGRADE</w:t>
            </w:r>
          </w:p>
        </w:tc>
        <w:tc>
          <w:tcPr>
            <w:tcW w:w="837" w:type="pct"/>
            <w:vAlign w:val="center"/>
          </w:tcPr>
          <w:p>
            <w:r>
              <w:t xml:space="preserve">430.500,00</w:t>
            </w:r>
          </w:p>
        </w:tc>
        <w:tc>
          <w:tcPr>
            <w:tcW w:w="837" w:type="pct"/>
            <w:vAlign w:val="center"/>
          </w:tcPr>
          <w:p>
            <w:r>
              <w:t xml:space="preserve">0,00</w:t>
            </w:r>
          </w:p>
        </w:tc>
        <w:tc>
          <w:tcPr>
            <w:tcW w:w="1726" w:type="pct"/>
            <w:vAlign w:val="center"/>
          </w:tcPr>
          <w:p>
            <w:r>
              <w:t xml:space="preserve">430.500,00</w:t>
            </w:r>
          </w:p>
        </w:tc>
      </w:tr>
      <w:tr>
        <w:trPr>
          <w:trHeight w:val="542" w:hRule="atLeast"/>
        </w:trPr>
        <w:tc>
          <w:tcPr>
            <w:tcW w:w="478" w:type="pct"/>
            <w:vAlign w:val="center"/>
          </w:tcPr>
          <w:p>
            <w:r>
              <w:t xml:space="preserve">7.</w:t>
            </w:r>
          </w:p>
        </w:tc>
        <w:tc>
          <w:tcPr>
            <w:tcW w:w="1119" w:type="pct"/>
            <w:vAlign w:val="center"/>
          </w:tcPr>
          <w:p>
            <w:r>
              <w:t xml:space="preserve">DANUBRIDGE CONNECT</w:t>
            </w:r>
          </w:p>
        </w:tc>
        <w:tc>
          <w:tcPr>
            <w:tcW w:w="837" w:type="pct"/>
            <w:vAlign w:val="center"/>
          </w:tcPr>
          <w:p>
            <w:r>
              <w:t xml:space="preserve">99.999,99</w:t>
            </w:r>
          </w:p>
        </w:tc>
        <w:tc>
          <w:tcPr>
            <w:tcW w:w="837" w:type="pct"/>
            <w:vAlign w:val="center"/>
          </w:tcPr>
          <w:p>
            <w:r>
              <w:t xml:space="preserve">0,00</w:t>
            </w:r>
          </w:p>
        </w:tc>
        <w:tc>
          <w:tcPr>
            <w:tcW w:w="1726" w:type="pct"/>
            <w:vAlign w:val="center"/>
          </w:tcPr>
          <w:p>
            <w:r>
              <w:t xml:space="preserve">99.999,99</w:t>
            </w:r>
          </w:p>
        </w:tc>
      </w:tr>
      <w:tr>
        <w:trPr>
          <w:trHeight w:val="542" w:hRule="atLeast"/>
        </w:trPr>
        <w:tc>
          <w:tcPr>
            <w:tcW w:w="478" w:type="pct"/>
            <w:vAlign w:val="center"/>
          </w:tcPr>
          <w:p>
            <w:r>
              <w:t xml:space="preserve"> </w:t>
            </w:r>
          </w:p>
        </w:tc>
        <w:tc>
          <w:tcPr>
            <w:tcW w:w="1119" w:type="pct"/>
            <w:vAlign w:val="center"/>
          </w:tcPr>
          <w:p>
            <w:r>
              <w:rPr>
                <w:b/>
              </w:rPr>
              <w:t xml:space="preserve">UKUPNO</w:t>
            </w:r>
          </w:p>
        </w:tc>
        <w:tc>
          <w:tcPr>
            <w:tcW w:w="837" w:type="pct"/>
            <w:vAlign w:val="center"/>
          </w:tcPr>
          <w:p>
            <w:r>
              <w:rPr>
                <w:b/>
              </w:rPr>
              <w:t xml:space="preserve">82.766.316,54</w:t>
            </w:r>
          </w:p>
        </w:tc>
        <w:tc>
          <w:tcPr>
            <w:tcW w:w="837" w:type="pct"/>
            <w:vAlign w:val="center"/>
          </w:tcPr>
          <w:p>
            <w:r>
              <w:rPr>
                <w:b/>
              </w:rPr>
              <w:t xml:space="preserve">24.597.174,78</w:t>
            </w:r>
          </w:p>
        </w:tc>
        <w:tc>
          <w:tcPr>
            <w:tcW w:w="1726" w:type="pct"/>
            <w:vAlign w:val="center"/>
          </w:tcPr>
          <w:p>
            <w:r>
              <w:rPr>
                <w:b/>
              </w:rPr>
              <w:t xml:space="preserve">58.169.141,76</w:t>
            </w:r>
          </w:p>
        </w:tc>
      </w:tr>
    </w:tbl>
    <w:p>
      <w:pPr>
        <w:jc w:val="both"/>
      </w:pPr>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b7b4dcbd13433b" /></Relationships>
</file>