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989aca9c9144c0" /></Relationships>
</file>

<file path=word/document.xml><?xml version="1.0" encoding="utf-8"?>
<w:document xmlns:w="http://schemas.openxmlformats.org/wordprocessingml/2006/main">
  <w:body>
    <w:sectPr>
      <w:footerReference xmlns:r="http://schemas.openxmlformats.org/officeDocument/2006/relationships" w:type="first" r:id="r97"/>
      <w:footerReference xmlns:r="http://schemas.openxmlformats.org/officeDocument/2006/relationships" w:type="default" r:id="r98"/>
      <w:type w:val="nextPage"/>
      <w:titlePg/>
      <w:pgNumType w:start="0"/>
      <w:pgMar w:top="1152" w:right="1152" w:bottom="1152" w:left="1152"/>
      <w:p>
        <w:pPr>
          <w:spacing w:line="240"/>
          <w:jc w:val="center"/>
        </w:pPr>
        <w:r>
          <w:rPr>
            <w:b/>
            <w:sz w:val="28"/>
            <w:rFonts w:ascii="Calibri" w:hAnsi="Calibri" w:cs="Calibri"/>
          </w:rPr>
          <w:br/>
          <w:br/>
          <w:br/>
          <w:br/>
          <w:br/>
          <w:br/>
          <w:br/>
          <w:br/>
          <w:br/>
          <w:br/>
          <w:br/>
          <w:br/>
          <w:br/>
          <w:br/>
          <w:t xml:space="preserve">OBRAZLOŽENJE IZMJENA I DOPUNA FINANCIJSKOG PLANA HRVATSKIH CESTA ZA  2023. GODINU I PROJEKCIJA PLANA ZA 2024. I 2025. GODINU</w:t>
          <w:br w:type="page"/>
        </w:r>
      </w:p>
      <w:p>
        <w:pPr>
          <w:spacing w:line="240"/>
          <w:jc w:val="left"/>
        </w:pPr>
        <w:r>
          <w:rPr>
            <w:b/>
            <w:u w:val="single"/>
            <w:sz w:val="22"/>
            <w:rFonts w:ascii="Calibri" w:hAnsi="Calibri" w:cs="Calibri"/>
          </w:rPr>
          <w:br/>
          <w:t xml:space="preserve">UVOD</w:t>
        </w:r>
      </w:p>
      <w:p>
        <w:pPr>
          <w:spacing w:line="240"/>
          <w:jc w:val="both"/>
        </w:pPr>
        <w:r>
          <w:rPr>
            <w:rFonts w:ascii="Calibri" w:hAnsi="Calibri" w:cs="Calibri"/>
            <w:sz w:val="22"/>
          </w:rPr>
          <w:t xml:space="preserve">Poslovanje društva Hrvatske ceste d.o.o.
određeno je Zakonom o cestama, Izjavom o osnivanju, Zakonom o trgovačkim
društvima, Zakonom o proračunu, odlukama Vlade Republike Hrvatske te drugim
zakonima i pravilnicima vezanima uz djelatnost Društva. Osnovna djelatnost
Društva je upravljanje, građenje, rekonstrukcija i održavanje državnih cesta.
Planiranje poslovnih aktivnosti Društva u skladu je sa Strategijom prometnog
razvitka, četverogodišnjim Programom građenja i održavanja javnih cesta koji
donosi Vlada Republike Hrvatske na prijedlog Ministarstva mora, prometa i
infrastrukture. Temeljem četverogodišnjeg Programa, Hrvatske ceste izrađuju
godišnji plan ulaganja u građenje i održavanje državnih cesta.</w:t>
        </w:r>
      </w:p>
      <w:p>
        <w:pPr>
          <w:spacing w:line="240"/>
          <w:jc w:val="both"/>
        </w:pPr>
        <w:r>
          <w:rPr>
            <w:rFonts w:ascii="Calibri" w:hAnsi="Calibri" w:cs="Calibri"/>
            <w:sz w:val="22"/>
          </w:rPr>
          <w:t xml:space="preserve">Hrvatski sabor je na svojoj sjednici 7.
lipnja 2023. godine donio Odluku o davanju suglasnosti na Izmjene i dopune
financijskog plana Hrvatskih cesta za 2023. godinu i projekcija za 2024. i
2025. godinu (NN 63/23).</w:t>
        </w:r>
      </w:p>
      <w:p>
        <w:pPr>
          <w:spacing w:line="240"/>
          <w:jc w:val="both"/>
        </w:pPr>
        <w:r>
          <w:rPr>
            <w:rFonts w:ascii="Calibri" w:hAnsi="Calibri" w:cs="Calibri"/>
            <w:sz w:val="22"/>
          </w:rPr>
          <w:t xml:space="preserve">U sklopu izrade Prijedloga Izmjena i
dopuna Državnog proračuna Republike Hrvatske za 2023. godinu, Društvo je
pripremilo nove Izmjene i dopune Financijskog plana za 2023. godinu.</w:t>
        </w:r>
      </w:p>
      <w:p>
        <w:pPr>
          <w:spacing w:line="240"/>
          <w:jc w:val="left"/>
        </w:pPr>
        <w:r>
          <w:rPr>
            <w:b/>
            <w:u w:val="single"/>
            <w:sz w:val="22"/>
            <w:rFonts w:ascii="Calibri" w:hAnsi="Calibri" w:cs="Calibri"/>
          </w:rPr>
          <w:br/>
          <w:t xml:space="preserve">PRIHODI</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2000" w:type="pct"/>
              <w:vAlign w:val="center"/>
              <w:shd w:val="clear" w:color="auto" w:fill="#bcdffb"/>
            </w:tcPr>
            <w:p>
              <w:pPr>
                <w:spacing w:after="0" w:line="240"/>
                <w:jc w:val="center"/>
              </w:pPr>
              <w:r>
                <w:rPr>
                  <w:b/>
                  <w:sz w:val="18"/>
                  <w:rFonts w:ascii="Calibri" w:hAnsi="Calibri" w:cs="Calibri"/>
                </w:rPr>
                <w:t/>
              </w:r>
            </w:p>
          </w:tc>
          <w:tc>
            <w:tcPr>
              <w:tcW w:w="800" w:type="pct"/>
              <w:vAlign w:val="center"/>
              <w:shd w:val="clear" w:color="auto" w:fill="#bcdffb"/>
            </w:tcPr>
            <w:p>
              <w:pPr>
                <w:spacing w:after="0" w:line="240"/>
                <w:jc w:val="center"/>
              </w:pPr>
              <w:r>
                <w:rPr>
                  <w:b/>
                  <w:sz w:val="18"/>
                  <w:rFonts w:ascii="Calibri" w:hAnsi="Calibri" w:cs="Calibri"/>
                </w:rPr>
                <w:t>Plan za 2023.</w:t>
              </w:r>
            </w:p>
          </w:tc>
          <w:tc>
            <w:tcPr>
              <w:tcW w:w="800" w:type="pct"/>
              <w:vAlign w:val="center"/>
              <w:shd w:val="clear" w:color="auto" w:fill="#bcdffb"/>
            </w:tcPr>
            <w:p>
              <w:pPr>
                <w:spacing w:after="0" w:line="240"/>
                <w:jc w:val="center"/>
              </w:pPr>
              <w:r>
                <w:rPr>
                  <w:b/>
                  <w:sz w:val="18"/>
                  <w:rFonts w:ascii="Calibri" w:hAnsi="Calibri" w:cs="Calibri"/>
                </w:rPr>
                <w:t>Povećanje/</w:t>
                <w:br/>
                <w:t>Smanjenje</w:t>
              </w:r>
            </w:p>
          </w:tc>
          <w:tc>
            <w:tcPr>
              <w:tcW w:w="800" w:type="pct"/>
              <w:vAlign w:val="center"/>
              <w:shd w:val="clear" w:color="auto" w:fill="#bcdffb"/>
            </w:tcPr>
            <w:p>
              <w:pPr>
                <w:spacing w:after="0" w:line="240"/>
                <w:jc w:val="center"/>
              </w:pPr>
              <w:r>
                <w:rPr>
                  <w:b/>
                  <w:sz w:val="18"/>
                  <w:rFonts w:ascii="Calibri" w:hAnsi="Calibri" w:cs="Calibri"/>
                </w:rPr>
                <w:t>Novi plan za</w:t>
                <w:br/>
                <w:t>2023.</w:t>
              </w:r>
            </w:p>
          </w:tc>
          <w:tc>
            <w:tcPr>
              <w:tcW w:w="400" w:type="pct"/>
              <w:vAlign w:val="center"/>
              <w:shd w:val="clear" w:color="auto" w:fill="#bcdffb"/>
            </w:tcPr>
            <w:p>
              <w:pPr>
                <w:spacing w:after="0" w:line="240"/>
                <w:jc w:val="center"/>
              </w:pPr>
              <w:r>
                <w:rPr>
                  <w:b/>
                  <w:sz w:val="18"/>
                  <w:rFonts w:ascii="Calibri" w:hAnsi="Calibri" w:cs="Calibri"/>
                </w:rPr>
                <w:t>Indeks</w:t>
              </w:r>
            </w:p>
          </w:tc>
        </w:tr>
        <w:tr>
          <w:tc>
            <w:tcPr>
              <w:tcW w:w="2000" w:type="pct"/>
              <w:vAlign w:val="bottom"/>
            </w:tcPr>
            <w:p>
              <w:pPr>
                <w:spacing w:after="0" w:line="240"/>
                <w:jc w:val="left"/>
              </w:pPr>
              <w:r>
                <w:rPr>
                  <w:sz w:val="18"/>
                  <w:rFonts w:ascii="Calibri" w:hAnsi="Calibri" w:cs="Calibri"/>
                </w:rPr>
                <w:t>PRIHODI POSLOVANJA</w:t>
              </w:r>
            </w:p>
          </w:tc>
          <w:tc>
            <w:tcPr>
              <w:tcW w:w="800" w:type="pct"/>
              <w:vAlign w:val="bottom"/>
            </w:tcPr>
            <w:p>
              <w:pPr>
                <w:spacing w:after="0" w:line="240"/>
                <w:jc w:val="right"/>
              </w:pPr>
              <w:r>
                <w:rPr>
                  <w:sz w:val="18"/>
                  <w:rFonts w:ascii="Calibri" w:hAnsi="Calibri" w:cs="Calibri"/>
                </w:rPr>
                <w:t>338.408.214</w:t>
              </w:r>
            </w:p>
          </w:tc>
          <w:tc>
            <w:tcPr>
              <w:tcW w:w="800" w:type="pct"/>
              <w:vAlign w:val="bottom"/>
            </w:tcPr>
            <w:p>
              <w:pPr>
                <w:spacing w:after="0" w:line="240"/>
                <w:jc w:val="right"/>
              </w:pPr>
              <w:r>
                <w:rPr>
                  <w:sz w:val="18"/>
                  <w:rFonts w:ascii="Calibri" w:hAnsi="Calibri" w:cs="Calibri"/>
                </w:rPr>
                <w:t>58.670.607</w:t>
              </w:r>
            </w:p>
          </w:tc>
          <w:tc>
            <w:tcPr>
              <w:tcW w:w="800" w:type="pct"/>
              <w:vAlign w:val="bottom"/>
            </w:tcPr>
            <w:p>
              <w:pPr>
                <w:spacing w:after="0" w:line="240"/>
                <w:jc w:val="right"/>
              </w:pPr>
              <w:r>
                <w:rPr>
                  <w:sz w:val="18"/>
                  <w:rFonts w:ascii="Calibri" w:hAnsi="Calibri" w:cs="Calibri"/>
                </w:rPr>
                <w:t>397.078.821</w:t>
              </w:r>
            </w:p>
          </w:tc>
          <w:tc>
            <w:tcPr>
              <w:tcW w:w="400" w:type="pct"/>
              <w:vAlign w:val="bottom"/>
            </w:tcPr>
            <w:p>
              <w:pPr>
                <w:spacing w:after="0" w:line="240"/>
                <w:jc w:val="right"/>
              </w:pPr>
              <w:r>
                <w:rPr>
                  <w:sz w:val="18"/>
                  <w:rFonts w:ascii="Calibri" w:hAnsi="Calibri" w:cs="Calibri"/>
                </w:rPr>
                <w:t>117,3</w:t>
              </w:r>
            </w:p>
          </w:tc>
        </w:tr>
        <w:tr>
          <w:tc>
            <w:tcPr>
              <w:tcW w:w="2000" w:type="pct"/>
              <w:vAlign w:val="bottom"/>
            </w:tcPr>
            <w:p>
              <w:pPr>
                <w:spacing w:after="0" w:line="240"/>
                <w:jc w:val="left"/>
              </w:pPr>
              <w:r>
                <w:rPr>
                  <w:sz w:val="18"/>
                  <w:rFonts w:ascii="Calibri" w:hAnsi="Calibri" w:cs="Calibri"/>
                </w:rPr>
                <w:t>PRIHODI OD PRODAJE NEFINANCIJSKE IMOVINE</w:t>
              </w:r>
            </w:p>
          </w:tc>
          <w:tc>
            <w:tcPr>
              <w:tcW w:w="800" w:type="pct"/>
              <w:vAlign w:val="bottom"/>
            </w:tcPr>
            <w:p>
              <w:pPr>
                <w:spacing w:after="0" w:line="240"/>
                <w:jc w:val="right"/>
              </w:pPr>
              <w:r>
                <w:rPr>
                  <w:sz w:val="18"/>
                  <w:rFonts w:ascii="Calibri" w:hAnsi="Calibri" w:cs="Calibri"/>
                </w:rPr>
                <w:t>60.000</w:t>
              </w:r>
            </w:p>
          </w:tc>
          <w:tc>
            <w:tcPr>
              <w:tcW w:w="800" w:type="pct"/>
              <w:vAlign w:val="bottom"/>
            </w:tcPr>
            <w:p>
              <w:pPr>
                <w:spacing w:after="0" w:line="240"/>
                <w:jc w:val="right"/>
              </w:pPr>
              <w:r>
                <w:rPr>
                  <w:sz w:val="18"/>
                  <w:rFonts w:ascii="Calibri" w:hAnsi="Calibri" w:cs="Calibri"/>
                </w:rPr>
                <w:t>142.000</w:t>
              </w:r>
            </w:p>
          </w:tc>
          <w:tc>
            <w:tcPr>
              <w:tcW w:w="800" w:type="pct"/>
              <w:vAlign w:val="bottom"/>
            </w:tcPr>
            <w:p>
              <w:pPr>
                <w:spacing w:after="0" w:line="240"/>
                <w:jc w:val="right"/>
              </w:pPr>
              <w:r>
                <w:rPr>
                  <w:sz w:val="18"/>
                  <w:rFonts w:ascii="Calibri" w:hAnsi="Calibri" w:cs="Calibri"/>
                </w:rPr>
                <w:t>202.000</w:t>
              </w:r>
            </w:p>
          </w:tc>
          <w:tc>
            <w:tcPr>
              <w:tcW w:w="400" w:type="pct"/>
              <w:vAlign w:val="bottom"/>
            </w:tcPr>
            <w:p>
              <w:pPr>
                <w:spacing w:after="0" w:line="240"/>
                <w:jc w:val="right"/>
              </w:pPr>
              <w:r>
                <w:rPr>
                  <w:sz w:val="18"/>
                  <w:rFonts w:ascii="Calibri" w:hAnsi="Calibri" w:cs="Calibri"/>
                </w:rPr>
                <w:t>336,7</w:t>
              </w:r>
            </w:p>
          </w:tc>
        </w:tr>
        <w:tr>
          <w:tc>
            <w:tcPr>
              <w:tcW w:w="2000" w:type="pct"/>
              <w:vAlign w:val="bottom"/>
            </w:tcPr>
            <w:p>
              <w:pPr>
                <w:spacing w:after="0" w:line="240"/>
                <w:jc w:val="left"/>
              </w:pPr>
              <w:r>
                <w:rPr>
                  <w:b/>
                  <w:sz w:val="18"/>
                  <w:rFonts w:ascii="Calibri" w:hAnsi="Calibri" w:cs="Calibri"/>
                </w:rPr>
                <w:t>UKUPNI PRIHODI</w:t>
              </w:r>
            </w:p>
          </w:tc>
          <w:tc>
            <w:tcPr>
              <w:tcW w:w="800" w:type="pct"/>
              <w:vAlign w:val="bottom"/>
            </w:tcPr>
            <w:p>
              <w:pPr>
                <w:spacing w:after="0" w:line="240"/>
                <w:jc w:val="right"/>
              </w:pPr>
              <w:r>
                <w:rPr>
                  <w:b/>
                  <w:sz w:val="18"/>
                  <w:rFonts w:ascii="Calibri" w:hAnsi="Calibri" w:cs="Calibri"/>
                </w:rPr>
                <w:t>338.468.214</w:t>
              </w:r>
            </w:p>
          </w:tc>
          <w:tc>
            <w:tcPr>
              <w:tcW w:w="800" w:type="pct"/>
              <w:vAlign w:val="bottom"/>
            </w:tcPr>
            <w:p>
              <w:pPr>
                <w:spacing w:after="0" w:line="240"/>
                <w:jc w:val="right"/>
              </w:pPr>
              <w:r>
                <w:rPr>
                  <w:b/>
                  <w:sz w:val="18"/>
                  <w:rFonts w:ascii="Calibri" w:hAnsi="Calibri" w:cs="Calibri"/>
                </w:rPr>
                <w:t>58.812.607</w:t>
              </w:r>
            </w:p>
          </w:tc>
          <w:tc>
            <w:tcPr>
              <w:tcW w:w="800" w:type="pct"/>
              <w:vAlign w:val="bottom"/>
            </w:tcPr>
            <w:p>
              <w:pPr>
                <w:spacing w:after="0" w:line="240"/>
                <w:jc w:val="right"/>
              </w:pPr>
              <w:r>
                <w:rPr>
                  <w:b/>
                  <w:sz w:val="18"/>
                  <w:rFonts w:ascii="Calibri" w:hAnsi="Calibri" w:cs="Calibri"/>
                </w:rPr>
                <w:t>397.280.821</w:t>
              </w:r>
            </w:p>
          </w:tc>
          <w:tc>
            <w:tcPr>
              <w:tcW w:w="400" w:type="pct"/>
              <w:vAlign w:val="bottom"/>
            </w:tcPr>
            <w:p>
              <w:pPr>
                <w:spacing w:after="0" w:line="240"/>
                <w:jc w:val="right"/>
              </w:pPr>
              <w:r>
                <w:rPr>
                  <w:b/>
                  <w:sz w:val="18"/>
                  <w:rFonts w:ascii="Calibri" w:hAnsi="Calibri" w:cs="Calibri"/>
                </w:rPr>
                <w:t>117,4</w:t>
              </w:r>
            </w:p>
          </w:tc>
        </w:tr>
      </w:tbl>
      <w:p>
        <w:pPr>
          <w:spacing w:after="0" w:line="240"/>
        </w:pPr>
      </w:p>
      <w:p>
        <w:pPr>
          <w:spacing w:line="240"/>
          <w:jc w:val="both"/>
        </w:pPr>
        <w:r>
          <w:rPr>
            <w:rFonts w:ascii="Calibri" w:hAnsi="Calibri" w:cs="Calibri"/>
            <w:sz w:val="22"/>
          </w:rPr>
          <w:t xml:space="preserve">Ukupni planirani prihodi Hrvatskih cesta
u prijedlogu Izmjena i dopuna Financijskog plana za 2023. godinu iznose 397,28
milijuna eura, što predstavlja povećanje od 17,4 % u odnosu na originalni Plan.</w:t>
        </w:r>
      </w:p>
      <w:p>
        <w:pPr>
          <w:spacing w:line="240"/>
          <w:jc w:val="both"/>
        </w:pPr>
        <w:r>
          <w:rPr>
            <w:rFonts w:ascii="Calibri" w:hAnsi="Calibri" w:cs="Calibri"/>
            <w:sz w:val="22"/>
          </w:rPr>
          <w:t xml:space="preserve">Prihodi poslovanja povećani su za 17,3 %
na 397,08 milijuna eura. Najznačajniju stavku prihoda poslovanja čini naknada
za financiranje građenja i održavanja javnih cesta propisana Zakonom o cestama,
a uplaćuje se iz Državnog proračuna. Prihodi od naknade iz goriva planirani su
u iznosu od 318,12 milijuna eura što je povećanje od 72,00 milijuna eura u
odnosu na originalni Plan.</w:t>
        </w:r>
      </w:p>
      <w:p>
        <w:pPr>
          <w:spacing w:line="240"/>
          <w:jc w:val="both"/>
        </w:pPr>
        <w:r>
          <w:rPr>
            <w:rFonts w:ascii="Calibri" w:hAnsi="Calibri" w:cs="Calibri"/>
            <w:sz w:val="22"/>
          </w:rPr>
          <w:t xml:space="preserve">Planirani iznos za Pomoći temeljem
prijenosa sredstava EU iznosi 49,19 milijuna eura, što je smanjenje od 23,16
milijuna eura, odnosno 32,01 % u odnosu na prvotno planirano. Većina navedenog
smanjenja vezano je za ugovore o dodjeli bespovratnih sredstava  za projekte Multimodalne platforme splitske
aglomeracije i Brze ceste Bjelovar-Virovitica-granica Mađarske koji će biti
sklopljeni u sljedećoj proračunskoj godini. Planirana sredstva za financiranje
EU projekata i programa odnose se na projekte: Izgradnja DC403 od Čvora
Škurinje do Luke Rijeka, Cestovna Povezanost s Južnom Dalmacijom, Sanacija
šteta na potresom pogođenim područjima, Srijemska Granična Transverzala -
Dionica Ilok – Lipovac, izgradnja obilaznice Apševaca i Lipovca, Sanacija
opasnih mjesta na državnim cestama. </w:t>
        </w:r>
      </w:p>
      <w:p>
        <w:pPr>
          <w:spacing w:line="240"/>
          <w:jc w:val="both"/>
        </w:pPr>
        <w:r>
          <w:rPr>
            <w:rFonts w:ascii="Calibri" w:hAnsi="Calibri" w:cs="Calibri"/>
            <w:sz w:val="22"/>
          </w:rPr>
          <w:t xml:space="preserve">Ostali prihodi poslovanja povećani su
ovom Izmjenom za 4,23 milijuna eura. Navedeno povećanje se najvećim dijelom
odnosi na refundaciju Županijske uprave za ceste Sisačko-moslavačke županije za
financijsku pomoć koju su Hrvatske ceste pružile prilikom sanacije šteta na
županijskim i lokalnim cestama na potresom pogođenom području.</w:t>
        </w:r>
      </w:p>
      <w:p>
        <w:pPr>
          <w:spacing w:line="240"/>
          <w:jc w:val="both"/>
        </w:pPr>
        <w:r>
          <w:rPr>
            <w:rFonts w:ascii="Calibri" w:hAnsi="Calibri" w:cs="Calibri"/>
            <w:sz w:val="22"/>
          </w:rPr>
          <w:t xml:space="preserve">Prihodi od prodaje nefinancijske imovine povećani
su za 142 tisuće eura što se odnosi na prihode od planirane prodaje službenih
vozila i prodaje poslovnog objekta Hrvatskih cesta.</w:t>
        </w:r>
      </w:p>
      <w:p>
        <w:pPr>
          <w:spacing w:line="240"/>
          <w:jc w:val="left"/>
        </w:pPr>
        <w:r>
          <w:rPr>
            <w:b/>
            <w:u w:val="single"/>
            <w:sz w:val="22"/>
            <w:rFonts w:ascii="Calibri" w:hAnsi="Calibri" w:cs="Calibri"/>
          </w:rPr>
          <w:br/>
          <w:t xml:space="preserve">RASHODI</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2000" w:type="pct"/>
              <w:vAlign w:val="center"/>
              <w:shd w:val="clear" w:color="auto" w:fill="#bcdffb"/>
            </w:tcPr>
            <w:p>
              <w:pPr>
                <w:spacing w:after="0" w:line="240"/>
                <w:jc w:val="center"/>
              </w:pPr>
              <w:r>
                <w:rPr>
                  <w:b/>
                  <w:sz w:val="18"/>
                  <w:rFonts w:ascii="Calibri" w:hAnsi="Calibri" w:cs="Calibri"/>
                </w:rPr>
                <w:t/>
              </w:r>
            </w:p>
          </w:tc>
          <w:tc>
            <w:tcPr>
              <w:tcW w:w="800" w:type="pct"/>
              <w:vAlign w:val="center"/>
              <w:shd w:val="clear" w:color="auto" w:fill="#bcdffb"/>
            </w:tcPr>
            <w:p>
              <w:pPr>
                <w:spacing w:after="0" w:line="240"/>
                <w:jc w:val="center"/>
              </w:pPr>
              <w:r>
                <w:rPr>
                  <w:b/>
                  <w:sz w:val="18"/>
                  <w:rFonts w:ascii="Calibri" w:hAnsi="Calibri" w:cs="Calibri"/>
                </w:rPr>
                <w:t>Plan za 2023.</w:t>
              </w:r>
            </w:p>
          </w:tc>
          <w:tc>
            <w:tcPr>
              <w:tcW w:w="800" w:type="pct"/>
              <w:vAlign w:val="center"/>
              <w:shd w:val="clear" w:color="auto" w:fill="#bcdffb"/>
            </w:tcPr>
            <w:p>
              <w:pPr>
                <w:spacing w:after="0" w:line="240"/>
                <w:jc w:val="center"/>
              </w:pPr>
              <w:r>
                <w:rPr>
                  <w:b/>
                  <w:sz w:val="18"/>
                  <w:rFonts w:ascii="Calibri" w:hAnsi="Calibri" w:cs="Calibri"/>
                </w:rPr>
                <w:t>Povećanje/</w:t>
                <w:br/>
                <w:t>Smanjenje</w:t>
              </w:r>
            </w:p>
          </w:tc>
          <w:tc>
            <w:tcPr>
              <w:tcW w:w="800" w:type="pct"/>
              <w:vAlign w:val="center"/>
              <w:shd w:val="clear" w:color="auto" w:fill="#bcdffb"/>
            </w:tcPr>
            <w:p>
              <w:pPr>
                <w:spacing w:after="0" w:line="240"/>
                <w:jc w:val="center"/>
              </w:pPr>
              <w:r>
                <w:rPr>
                  <w:b/>
                  <w:sz w:val="18"/>
                  <w:rFonts w:ascii="Calibri" w:hAnsi="Calibri" w:cs="Calibri"/>
                </w:rPr>
                <w:t>Novi plan za</w:t>
                <w:br/>
                <w:t>2023.</w:t>
              </w:r>
            </w:p>
          </w:tc>
          <w:tc>
            <w:tcPr>
              <w:tcW w:w="400" w:type="pct"/>
              <w:vAlign w:val="center"/>
              <w:shd w:val="clear" w:color="auto" w:fill="#bcdffb"/>
            </w:tcPr>
            <w:p>
              <w:pPr>
                <w:spacing w:after="0" w:line="240"/>
                <w:jc w:val="center"/>
              </w:pPr>
              <w:r>
                <w:rPr>
                  <w:b/>
                  <w:sz w:val="18"/>
                  <w:rFonts w:ascii="Calibri" w:hAnsi="Calibri" w:cs="Calibri"/>
                </w:rPr>
                <w:t>Indeks</w:t>
              </w:r>
            </w:p>
          </w:tc>
        </w:tr>
        <w:tr>
          <w:tc>
            <w:tcPr>
              <w:tcW w:w="2000" w:type="pct"/>
              <w:vAlign w:val="bottom"/>
            </w:tcPr>
            <w:p>
              <w:pPr>
                <w:spacing w:after="0" w:line="240"/>
                <w:jc w:val="left"/>
              </w:pPr>
              <w:r>
                <w:rPr>
                  <w:sz w:val="18"/>
                  <w:rFonts w:ascii="Calibri" w:hAnsi="Calibri" w:cs="Calibri"/>
                </w:rPr>
                <w:t>RASHODI POSLOVANJA</w:t>
              </w:r>
            </w:p>
          </w:tc>
          <w:tc>
            <w:tcPr>
              <w:tcW w:w="800" w:type="pct"/>
              <w:vAlign w:val="bottom"/>
            </w:tcPr>
            <w:p>
              <w:pPr>
                <w:spacing w:after="0" w:line="240"/>
                <w:jc w:val="right"/>
              </w:pPr>
              <w:r>
                <w:rPr>
                  <w:sz w:val="18"/>
                  <w:rFonts w:ascii="Calibri" w:hAnsi="Calibri" w:cs="Calibri"/>
                </w:rPr>
                <w:t>179.104.268</w:t>
              </w:r>
            </w:p>
          </w:tc>
          <w:tc>
            <w:tcPr>
              <w:tcW w:w="800" w:type="pct"/>
              <w:vAlign w:val="bottom"/>
            </w:tcPr>
            <w:p>
              <w:pPr>
                <w:spacing w:after="0" w:line="240"/>
                <w:jc w:val="right"/>
              </w:pPr>
              <w:r>
                <w:rPr>
                  <w:sz w:val="18"/>
                  <w:rFonts w:ascii="Calibri" w:hAnsi="Calibri" w:cs="Calibri"/>
                </w:rPr>
                <w:t>992.995</w:t>
              </w:r>
            </w:p>
          </w:tc>
          <w:tc>
            <w:tcPr>
              <w:tcW w:w="800" w:type="pct"/>
              <w:vAlign w:val="bottom"/>
            </w:tcPr>
            <w:p>
              <w:pPr>
                <w:spacing w:after="0" w:line="240"/>
                <w:jc w:val="right"/>
              </w:pPr>
              <w:r>
                <w:rPr>
                  <w:sz w:val="18"/>
                  <w:rFonts w:ascii="Calibri" w:hAnsi="Calibri" w:cs="Calibri"/>
                </w:rPr>
                <w:t>180.097.263</w:t>
              </w:r>
            </w:p>
          </w:tc>
          <w:tc>
            <w:tcPr>
              <w:tcW w:w="400" w:type="pct"/>
              <w:vAlign w:val="bottom"/>
            </w:tcPr>
            <w:p>
              <w:pPr>
                <w:spacing w:after="0" w:line="240"/>
                <w:jc w:val="right"/>
              </w:pPr>
              <w:r>
                <w:rPr>
                  <w:sz w:val="18"/>
                  <w:rFonts w:ascii="Calibri" w:hAnsi="Calibri" w:cs="Calibri"/>
                </w:rPr>
                <w:t>100,6</w:t>
              </w:r>
            </w:p>
          </w:tc>
        </w:tr>
        <w:tr>
          <w:tc>
            <w:tcPr>
              <w:tcW w:w="2000" w:type="pct"/>
              <w:vAlign w:val="bottom"/>
            </w:tcPr>
            <w:p>
              <w:pPr>
                <w:spacing w:after="0" w:line="240"/>
                <w:jc w:val="left"/>
              </w:pPr>
              <w:r>
                <w:rPr>
                  <w:sz w:val="18"/>
                  <w:rFonts w:ascii="Calibri" w:hAnsi="Calibri" w:cs="Calibri"/>
                </w:rPr>
                <w:t>RASHODI ZA NABAVU NEFINANCIJSKE IMOVINE</w:t>
              </w:r>
            </w:p>
          </w:tc>
          <w:tc>
            <w:tcPr>
              <w:tcW w:w="800" w:type="pct"/>
              <w:vAlign w:val="bottom"/>
            </w:tcPr>
            <w:p>
              <w:pPr>
                <w:spacing w:after="0" w:line="240"/>
                <w:jc w:val="right"/>
              </w:pPr>
              <w:r>
                <w:rPr>
                  <w:sz w:val="18"/>
                  <w:rFonts w:ascii="Calibri" w:hAnsi="Calibri" w:cs="Calibri"/>
                </w:rPr>
                <w:t>217.320.097</w:t>
              </w:r>
            </w:p>
          </w:tc>
          <w:tc>
            <w:tcPr>
              <w:tcW w:w="800" w:type="pct"/>
              <w:vAlign w:val="bottom"/>
            </w:tcPr>
            <w:p>
              <w:pPr>
                <w:spacing w:after="0" w:line="240"/>
                <w:jc w:val="right"/>
              </w:pPr>
              <w:r>
                <w:rPr>
                  <w:sz w:val="18"/>
                  <w:rFonts w:ascii="Calibri" w:hAnsi="Calibri" w:cs="Calibri"/>
                </w:rPr>
                <w:t>45.819.612</w:t>
              </w:r>
            </w:p>
          </w:tc>
          <w:tc>
            <w:tcPr>
              <w:tcW w:w="800" w:type="pct"/>
              <w:vAlign w:val="bottom"/>
            </w:tcPr>
            <w:p>
              <w:pPr>
                <w:spacing w:after="0" w:line="240"/>
                <w:jc w:val="right"/>
              </w:pPr>
              <w:r>
                <w:rPr>
                  <w:sz w:val="18"/>
                  <w:rFonts w:ascii="Calibri" w:hAnsi="Calibri" w:cs="Calibri"/>
                </w:rPr>
                <w:t>263.139.709</w:t>
              </w:r>
            </w:p>
          </w:tc>
          <w:tc>
            <w:tcPr>
              <w:tcW w:w="400" w:type="pct"/>
              <w:vAlign w:val="bottom"/>
            </w:tcPr>
            <w:p>
              <w:pPr>
                <w:spacing w:after="0" w:line="240"/>
                <w:jc w:val="right"/>
              </w:pPr>
              <w:r>
                <w:rPr>
                  <w:sz w:val="18"/>
                  <w:rFonts w:ascii="Calibri" w:hAnsi="Calibri" w:cs="Calibri"/>
                </w:rPr>
                <w:t>121,1</w:t>
              </w:r>
            </w:p>
          </w:tc>
        </w:tr>
        <w:tr>
          <w:tc>
            <w:tcPr>
              <w:tcW w:w="2000" w:type="pct"/>
              <w:vAlign w:val="bottom"/>
            </w:tcPr>
            <w:p>
              <w:pPr>
                <w:spacing w:after="0" w:line="240"/>
                <w:jc w:val="left"/>
              </w:pPr>
              <w:r>
                <w:rPr>
                  <w:b/>
                  <w:sz w:val="18"/>
                  <w:rFonts w:ascii="Calibri" w:hAnsi="Calibri" w:cs="Calibri"/>
                </w:rPr>
                <w:t>UKUPNI RASHODI</w:t>
              </w:r>
            </w:p>
          </w:tc>
          <w:tc>
            <w:tcPr>
              <w:tcW w:w="800" w:type="pct"/>
              <w:vAlign w:val="bottom"/>
            </w:tcPr>
            <w:p>
              <w:pPr>
                <w:spacing w:after="0" w:line="240"/>
                <w:jc w:val="right"/>
              </w:pPr>
              <w:r>
                <w:rPr>
                  <w:b/>
                  <w:sz w:val="18"/>
                  <w:rFonts w:ascii="Calibri" w:hAnsi="Calibri" w:cs="Calibri"/>
                </w:rPr>
                <w:t>396.424.365</w:t>
              </w:r>
            </w:p>
          </w:tc>
          <w:tc>
            <w:tcPr>
              <w:tcW w:w="800" w:type="pct"/>
              <w:vAlign w:val="bottom"/>
            </w:tcPr>
            <w:p>
              <w:pPr>
                <w:spacing w:after="0" w:line="240"/>
                <w:jc w:val="right"/>
              </w:pPr>
              <w:r>
                <w:rPr>
                  <w:b/>
                  <w:sz w:val="18"/>
                  <w:rFonts w:ascii="Calibri" w:hAnsi="Calibri" w:cs="Calibri"/>
                </w:rPr>
                <w:t>46.812.607</w:t>
              </w:r>
            </w:p>
          </w:tc>
          <w:tc>
            <w:tcPr>
              <w:tcW w:w="800" w:type="pct"/>
              <w:vAlign w:val="bottom"/>
            </w:tcPr>
            <w:p>
              <w:pPr>
                <w:spacing w:after="0" w:line="240"/>
                <w:jc w:val="right"/>
              </w:pPr>
              <w:r>
                <w:rPr>
                  <w:b/>
                  <w:sz w:val="18"/>
                  <w:rFonts w:ascii="Calibri" w:hAnsi="Calibri" w:cs="Calibri"/>
                </w:rPr>
                <w:t>443.236.972</w:t>
              </w:r>
            </w:p>
          </w:tc>
          <w:tc>
            <w:tcPr>
              <w:tcW w:w="400" w:type="pct"/>
              <w:vAlign w:val="bottom"/>
            </w:tcPr>
            <w:p>
              <w:pPr>
                <w:spacing w:after="0" w:line="240"/>
                <w:jc w:val="right"/>
              </w:pPr>
              <w:r>
                <w:rPr>
                  <w:b/>
                  <w:sz w:val="18"/>
                  <w:rFonts w:ascii="Calibri" w:hAnsi="Calibri" w:cs="Calibri"/>
                </w:rPr>
                <w:t>111,8</w:t>
              </w:r>
            </w:p>
          </w:tc>
        </w:tr>
      </w:tbl>
      <w:p>
        <w:pPr>
          <w:spacing w:after="0" w:line="240"/>
        </w:pPr>
      </w:p>
      <w:p>
        <w:pPr>
          <w:spacing w:line="240"/>
          <w:jc w:val="both"/>
        </w:pPr>
        <w:r>
          <w:rPr>
            <w:rFonts w:ascii="Calibri" w:hAnsi="Calibri" w:cs="Calibri"/>
            <w:sz w:val="22"/>
          </w:rPr>
          <w:t xml:space="preserve">Ukupni planirani rashodi Hrvatskih cesta
u prijedlogu Izmjena i dopuna Financijskog plana za 2023. godinu iznose 443,24 milijuna
eura, što predstavlja povećanje od 11,8  % u odnosu na originalni Plan. </w:t>
        </w:r>
      </w:p>
      <w:p>
        <w:pPr>
          <w:spacing w:line="240"/>
          <w:jc w:val="both"/>
        </w:pPr>
        <w:r>
          <w:rPr>
            <w:rFonts w:ascii="Calibri" w:hAnsi="Calibri" w:cs="Calibri"/>
            <w:sz w:val="22"/>
          </w:rPr>
          <w:t xml:space="preserve">Rashodi poslovanja u Izmjeni Plana iznose
180,10 milijuna eura, a povećani su u odnosu na originalni plan za 0,6 %. </w:t>
        </w:r>
      </w:p>
      <w:p>
        <w:pPr>
          <w:spacing w:line="240"/>
          <w:jc w:val="both"/>
        </w:pPr>
        <w:r>
          <w:rPr>
            <w:rFonts w:ascii="Calibri" w:hAnsi="Calibri" w:cs="Calibri"/>
            <w:sz w:val="22"/>
          </w:rPr>
          <w:t xml:space="preserve">Najveće povećanje u iznosu od 2,85
milijuna eura je na stavci Materijalni rashodi, a najvećim dijelom uzrokovano
je povećanjem troškova hitne intervencije kod održavanje državnih cesta, kao
posljedica većeg broja odrona i klizišta uz državne ceste zbog vremenskih
uvjeta tokom godine. </w:t>
        </w:r>
      </w:p>
      <w:p>
        <w:pPr>
          <w:spacing w:line="240"/>
          <w:jc w:val="both"/>
        </w:pPr>
        <w:r>
          <w:rPr>
            <w:rFonts w:ascii="Calibri" w:hAnsi="Calibri" w:cs="Calibri"/>
            <w:sz w:val="22"/>
          </w:rPr>
          <w:t xml:space="preserve">Također, u sklopu rashoda poslovanja,
povećana je stavka Tekuće pomoći unutar općeg proračuna za 1,17 milijuna eura
te sada iznosi 2,5 milijuna eura. Navedena sredstva odnose se na sufinanciranje
dijela troškova zimske službe na nerazvrstanim cestama. </w:t>
        </w:r>
      </w:p>
      <w:p>
        <w:pPr>
          <w:spacing w:line="240"/>
          <w:jc w:val="both"/>
        </w:pPr>
        <w:r>
          <w:rPr>
            <w:rFonts w:ascii="Calibri" w:hAnsi="Calibri" w:cs="Calibri"/>
            <w:sz w:val="22"/>
          </w:rPr>
          <w:t xml:space="preserve">Najveće smanjenje odnosi se na stavku
Financijskih rashoda i iznosi 3,02 milijuna eura. Ovo je posljedica usklađenja
kamatnih stopa sa trenutnim razinama Euribora i trezorskih zapisa na
financijskom tržištu.</w:t>
        </w:r>
      </w:p>
      <w:p>
        <w:pPr>
          <w:spacing w:line="240"/>
          <w:jc w:val="both"/>
        </w:pPr>
        <w:r>
          <w:rPr>
            <w:rFonts w:ascii="Calibri" w:hAnsi="Calibri" w:cs="Calibri"/>
            <w:sz w:val="22"/>
          </w:rPr>
          <w:t xml:space="preserve">Rashodi
za nabavu nefinancijske imovine u Izmjeni Plana iznose 263,14 milijuna eura i
povećani su u odnosu na originalni Plan za 21,1 %. Najveće povećanje rashoda za
nabavu nefinancijske imovine odnosi se na izgradnju i rekonstrukcije državnih
cesta. Povećanje je najvećim dijelom uzrokovano dodatnim plaćanjima za razlike
u cijeni na pojedinim projektima, a najviše na strateškom projektu Cestovna
povezanost s Južnom Dalmacijom.</w:t>
        </w:r>
        <w:r>
          <w:rPr>
            <w:rFonts w:ascii="Calibri" w:hAnsi="Calibri" w:cs="Calibri"/>
            <w:sz w:val="22"/>
          </w:rPr>
          <w:br/>
        </w:r>
      </w:p>
      <w:p>
        <w:pPr>
          <w:spacing w:line="240"/>
          <w:jc w:val="left"/>
        </w:pPr>
        <w:r>
          <w:rPr>
            <w:b/>
            <w:u w:val="single"/>
            <w:sz w:val="22"/>
            <w:rFonts w:ascii="Calibri" w:hAnsi="Calibri" w:cs="Calibri"/>
          </w:rPr>
          <w:br/>
          <w:t xml:space="preserve">UKUPNI VIŠAK/MANJAK</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2000" w:type="pct"/>
              <w:vAlign w:val="center"/>
              <w:shd w:val="clear" w:color="auto" w:fill="#bcdffb"/>
            </w:tcPr>
            <w:p>
              <w:pPr>
                <w:spacing w:after="0" w:line="240"/>
                <w:jc w:val="center"/>
              </w:pPr>
              <w:r>
                <w:rPr>
                  <w:b/>
                  <w:sz w:val="18"/>
                  <w:rFonts w:ascii="Calibri" w:hAnsi="Calibri" w:cs="Calibri"/>
                </w:rPr>
                <w:t/>
              </w:r>
            </w:p>
          </w:tc>
          <w:tc>
            <w:tcPr>
              <w:tcW w:w="800" w:type="pct"/>
              <w:vAlign w:val="center"/>
              <w:shd w:val="clear" w:color="auto" w:fill="#bcdffb"/>
            </w:tcPr>
            <w:p>
              <w:pPr>
                <w:spacing w:after="0" w:line="240"/>
                <w:jc w:val="center"/>
              </w:pPr>
              <w:r>
                <w:rPr>
                  <w:b/>
                  <w:sz w:val="18"/>
                  <w:rFonts w:ascii="Calibri" w:hAnsi="Calibri" w:cs="Calibri"/>
                </w:rPr>
                <w:t>Plan za 2023.</w:t>
              </w:r>
            </w:p>
          </w:tc>
          <w:tc>
            <w:tcPr>
              <w:tcW w:w="800" w:type="pct"/>
              <w:vAlign w:val="center"/>
              <w:shd w:val="clear" w:color="auto" w:fill="#bcdffb"/>
            </w:tcPr>
            <w:p>
              <w:pPr>
                <w:spacing w:after="0" w:line="240"/>
                <w:jc w:val="center"/>
              </w:pPr>
              <w:r>
                <w:rPr>
                  <w:b/>
                  <w:sz w:val="18"/>
                  <w:rFonts w:ascii="Calibri" w:hAnsi="Calibri" w:cs="Calibri"/>
                </w:rPr>
                <w:t>Povećanje/</w:t>
                <w:br/>
                <w:t>Smanjenje</w:t>
              </w:r>
            </w:p>
          </w:tc>
          <w:tc>
            <w:tcPr>
              <w:tcW w:w="800" w:type="pct"/>
              <w:vAlign w:val="center"/>
              <w:shd w:val="clear" w:color="auto" w:fill="#bcdffb"/>
            </w:tcPr>
            <w:p>
              <w:pPr>
                <w:spacing w:after="0" w:line="240"/>
                <w:jc w:val="center"/>
              </w:pPr>
              <w:r>
                <w:rPr>
                  <w:b/>
                  <w:sz w:val="18"/>
                  <w:rFonts w:ascii="Calibri" w:hAnsi="Calibri" w:cs="Calibri"/>
                </w:rPr>
                <w:t>Novi plan za</w:t>
                <w:br/>
                <w:t>2023.</w:t>
              </w:r>
            </w:p>
          </w:tc>
          <w:tc>
            <w:tcPr>
              <w:tcW w:w="400" w:type="pct"/>
              <w:vAlign w:val="center"/>
              <w:shd w:val="clear" w:color="auto" w:fill="#bcdffb"/>
            </w:tcPr>
            <w:p>
              <w:pPr>
                <w:spacing w:after="0" w:line="240"/>
                <w:jc w:val="center"/>
              </w:pPr>
              <w:r>
                <w:rPr>
                  <w:b/>
                  <w:sz w:val="18"/>
                  <w:rFonts w:ascii="Calibri" w:hAnsi="Calibri" w:cs="Calibri"/>
                </w:rPr>
                <w:t>Indeks</w:t>
              </w:r>
            </w:p>
          </w:tc>
        </w:tr>
        <w:tr>
          <w:tc>
            <w:tcPr>
              <w:tcW w:w="2000" w:type="pct"/>
              <w:vAlign w:val="bottom"/>
            </w:tcPr>
            <w:p>
              <w:pPr>
                <w:spacing w:after="0" w:line="240"/>
                <w:jc w:val="left"/>
              </w:pPr>
              <w:r>
                <w:rPr>
                  <w:sz w:val="18"/>
                  <w:rFonts w:ascii="Calibri" w:hAnsi="Calibri" w:cs="Calibri"/>
                </w:rPr>
                <w:t>UKUPNI PRIHODI</w:t>
              </w:r>
            </w:p>
          </w:tc>
          <w:tc>
            <w:tcPr>
              <w:tcW w:w="800" w:type="pct"/>
              <w:vAlign w:val="bottom"/>
            </w:tcPr>
            <w:p>
              <w:pPr>
                <w:spacing w:after="0" w:line="240"/>
                <w:jc w:val="right"/>
              </w:pPr>
              <w:r>
                <w:rPr>
                  <w:sz w:val="18"/>
                  <w:rFonts w:ascii="Calibri" w:hAnsi="Calibri" w:cs="Calibri"/>
                </w:rPr>
                <w:t>338.468.214</w:t>
              </w:r>
            </w:p>
          </w:tc>
          <w:tc>
            <w:tcPr>
              <w:tcW w:w="800" w:type="pct"/>
              <w:vAlign w:val="bottom"/>
            </w:tcPr>
            <w:p>
              <w:pPr>
                <w:spacing w:after="0" w:line="240"/>
                <w:jc w:val="right"/>
              </w:pPr>
              <w:r>
                <w:rPr>
                  <w:sz w:val="18"/>
                  <w:rFonts w:ascii="Calibri" w:hAnsi="Calibri" w:cs="Calibri"/>
                </w:rPr>
                <w:t>58.812.607</w:t>
              </w:r>
            </w:p>
          </w:tc>
          <w:tc>
            <w:tcPr>
              <w:tcW w:w="800" w:type="pct"/>
              <w:vAlign w:val="bottom"/>
            </w:tcPr>
            <w:p>
              <w:pPr>
                <w:spacing w:after="0" w:line="240"/>
                <w:jc w:val="right"/>
              </w:pPr>
              <w:r>
                <w:rPr>
                  <w:sz w:val="18"/>
                  <w:rFonts w:ascii="Calibri" w:hAnsi="Calibri" w:cs="Calibri"/>
                </w:rPr>
                <w:t>397.280.821</w:t>
              </w:r>
            </w:p>
          </w:tc>
          <w:tc>
            <w:tcPr>
              <w:tcW w:w="400" w:type="pct"/>
              <w:vAlign w:val="bottom"/>
            </w:tcPr>
            <w:p>
              <w:pPr>
                <w:spacing w:after="0" w:line="240"/>
                <w:jc w:val="right"/>
              </w:pPr>
              <w:r>
                <w:rPr>
                  <w:sz w:val="18"/>
                  <w:rFonts w:ascii="Calibri" w:hAnsi="Calibri" w:cs="Calibri"/>
                </w:rPr>
                <w:t>117,4</w:t>
              </w:r>
            </w:p>
          </w:tc>
        </w:tr>
        <w:tr>
          <w:tc>
            <w:tcPr>
              <w:tcW w:w="2000" w:type="pct"/>
              <w:vAlign w:val="bottom"/>
            </w:tcPr>
            <w:p>
              <w:pPr>
                <w:spacing w:after="0" w:line="240"/>
                <w:jc w:val="left"/>
              </w:pPr>
              <w:r>
                <w:rPr>
                  <w:sz w:val="18"/>
                  <w:rFonts w:ascii="Calibri" w:hAnsi="Calibri" w:cs="Calibri"/>
                </w:rPr>
                <w:t>UKUPNI RASHODI</w:t>
              </w:r>
            </w:p>
          </w:tc>
          <w:tc>
            <w:tcPr>
              <w:tcW w:w="800" w:type="pct"/>
              <w:vAlign w:val="bottom"/>
            </w:tcPr>
            <w:p>
              <w:pPr>
                <w:spacing w:after="0" w:line="240"/>
                <w:jc w:val="right"/>
              </w:pPr>
              <w:r>
                <w:rPr>
                  <w:sz w:val="18"/>
                  <w:rFonts w:ascii="Calibri" w:hAnsi="Calibri" w:cs="Calibri"/>
                </w:rPr>
                <w:t>396.424.365</w:t>
              </w:r>
            </w:p>
          </w:tc>
          <w:tc>
            <w:tcPr>
              <w:tcW w:w="800" w:type="pct"/>
              <w:vAlign w:val="bottom"/>
            </w:tcPr>
            <w:p>
              <w:pPr>
                <w:spacing w:after="0" w:line="240"/>
                <w:jc w:val="right"/>
              </w:pPr>
              <w:r>
                <w:rPr>
                  <w:sz w:val="18"/>
                  <w:rFonts w:ascii="Calibri" w:hAnsi="Calibri" w:cs="Calibri"/>
                </w:rPr>
                <w:t>46.812.607</w:t>
              </w:r>
            </w:p>
          </w:tc>
          <w:tc>
            <w:tcPr>
              <w:tcW w:w="800" w:type="pct"/>
              <w:vAlign w:val="bottom"/>
            </w:tcPr>
            <w:p>
              <w:pPr>
                <w:spacing w:after="0" w:line="240"/>
                <w:jc w:val="right"/>
              </w:pPr>
              <w:r>
                <w:rPr>
                  <w:sz w:val="18"/>
                  <w:rFonts w:ascii="Calibri" w:hAnsi="Calibri" w:cs="Calibri"/>
                </w:rPr>
                <w:t>443.236.972</w:t>
              </w:r>
            </w:p>
          </w:tc>
          <w:tc>
            <w:tcPr>
              <w:tcW w:w="400" w:type="pct"/>
              <w:vAlign w:val="bottom"/>
            </w:tcPr>
            <w:p>
              <w:pPr>
                <w:spacing w:after="0" w:line="240"/>
                <w:jc w:val="right"/>
              </w:pPr>
              <w:r>
                <w:rPr>
                  <w:sz w:val="18"/>
                  <w:rFonts w:ascii="Calibri" w:hAnsi="Calibri" w:cs="Calibri"/>
                </w:rPr>
                <w:t>111,8</w:t>
              </w:r>
            </w:p>
          </w:tc>
        </w:tr>
        <w:tr>
          <w:tc>
            <w:tcPr>
              <w:tcW w:w="2000" w:type="pct"/>
              <w:vAlign w:val="bottom"/>
            </w:tcPr>
            <w:p>
              <w:pPr>
                <w:spacing w:after="0" w:line="240"/>
                <w:jc w:val="left"/>
              </w:pPr>
              <w:r>
                <w:rPr>
                  <w:b/>
                  <w:sz w:val="18"/>
                  <w:rFonts w:ascii="Calibri" w:hAnsi="Calibri" w:cs="Calibri"/>
                </w:rPr>
                <w:t>RAZLIKA - VIŠAK/MANJAK</w:t>
              </w:r>
            </w:p>
          </w:tc>
          <w:tc>
            <w:tcPr>
              <w:tcW w:w="800" w:type="pct"/>
              <w:vAlign w:val="bottom"/>
            </w:tcPr>
            <w:p>
              <w:pPr>
                <w:spacing w:after="0" w:line="240"/>
                <w:jc w:val="right"/>
              </w:pPr>
              <w:r>
                <w:rPr>
                  <w:b/>
                  <w:sz w:val="18"/>
                  <w:rFonts w:ascii="Calibri" w:hAnsi="Calibri" w:cs="Calibri"/>
                </w:rPr>
                <w:t>-57.956.151</w:t>
              </w:r>
            </w:p>
          </w:tc>
          <w:tc>
            <w:tcPr>
              <w:tcW w:w="800" w:type="pct"/>
              <w:vAlign w:val="bottom"/>
            </w:tcPr>
            <w:p>
              <w:pPr>
                <w:spacing w:after="0" w:line="240"/>
                <w:jc w:val="right"/>
              </w:pPr>
              <w:r>
                <w:rPr>
                  <w:b/>
                  <w:sz w:val="18"/>
                  <w:rFonts w:ascii="Calibri" w:hAnsi="Calibri" w:cs="Calibri"/>
                </w:rPr>
                <w:t>12.000.000</w:t>
              </w:r>
            </w:p>
          </w:tc>
          <w:tc>
            <w:tcPr>
              <w:tcW w:w="800" w:type="pct"/>
              <w:vAlign w:val="bottom"/>
            </w:tcPr>
            <w:p>
              <w:pPr>
                <w:spacing w:after="0" w:line="240"/>
                <w:jc w:val="right"/>
              </w:pPr>
              <w:r>
                <w:rPr>
                  <w:b/>
                  <w:sz w:val="18"/>
                  <w:rFonts w:ascii="Calibri" w:hAnsi="Calibri" w:cs="Calibri"/>
                </w:rPr>
                <w:t>-45.956.151</w:t>
              </w:r>
            </w:p>
          </w:tc>
          <w:tc>
            <w:tcPr>
              <w:tcW w:w="400" w:type="pct"/>
              <w:vAlign w:val="bottom"/>
            </w:tcPr>
            <w:p>
              <w:pPr>
                <w:spacing w:after="0" w:line="240"/>
                <w:jc w:val="right"/>
              </w:pPr>
              <w:r>
                <w:rPr>
                  <w:b/>
                  <w:sz w:val="18"/>
                  <w:rFonts w:ascii="Calibri" w:hAnsi="Calibri" w:cs="Calibri"/>
                </w:rPr>
                <w:t>79,3</w:t>
              </w:r>
            </w:p>
          </w:tc>
        </w:tr>
      </w:tbl>
      <w:p>
        <w:pPr>
          <w:spacing w:after="0" w:line="240"/>
        </w:pPr>
      </w:p>
      <w:p>
        <w:pPr>
          <w:spacing w:line="240"/>
          <w:jc w:val="both"/>
        </w:pPr>
        <w:r>
          <w:rPr>
            <w:rFonts w:ascii="Calibri" w:hAnsi="Calibri" w:cs="Calibri"/>
            <w:sz w:val="22"/>
          </w:rPr>
          <w:t xml:space="preserve">Kao rezultat razlike između planiranih
prihoda i rashoda u prijedlogu Izmjena i dopuna Financijskog plana Hrvatske
ceste imaju predviđen manjak u iznosu od 45,96 milijuna eura, što je smanjenje od
12,0 milijuna eura.</w:t>
        </w:r>
      </w:p>
      <w:p>
        <w:pPr>
          <w:spacing w:line="240"/>
          <w:jc w:val="left"/>
        </w:pPr>
        <w:r>
          <w:rPr>
            <w:b/>
            <w:u w:val="single"/>
            <w:sz w:val="22"/>
            <w:rFonts w:ascii="Calibri" w:hAnsi="Calibri" w:cs="Calibri"/>
          </w:rPr>
          <w:br/>
          <w:t xml:space="preserve">RAČUN FINANCIRANJA</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2000" w:type="pct"/>
              <w:vAlign w:val="center"/>
              <w:shd w:val="clear" w:color="auto" w:fill="#bcdffb"/>
            </w:tcPr>
            <w:p>
              <w:pPr>
                <w:spacing w:after="0" w:line="240"/>
                <w:jc w:val="center"/>
              </w:pPr>
              <w:r>
                <w:rPr>
                  <w:b/>
                  <w:sz w:val="18"/>
                  <w:rFonts w:ascii="Calibri" w:hAnsi="Calibri" w:cs="Calibri"/>
                </w:rPr>
                <w:t/>
              </w:r>
            </w:p>
          </w:tc>
          <w:tc>
            <w:tcPr>
              <w:tcW w:w="800" w:type="pct"/>
              <w:vAlign w:val="center"/>
              <w:shd w:val="clear" w:color="auto" w:fill="#bcdffb"/>
            </w:tcPr>
            <w:p>
              <w:pPr>
                <w:spacing w:after="0" w:line="240"/>
                <w:jc w:val="center"/>
              </w:pPr>
              <w:r>
                <w:rPr>
                  <w:b/>
                  <w:sz w:val="18"/>
                  <w:rFonts w:ascii="Calibri" w:hAnsi="Calibri" w:cs="Calibri"/>
                </w:rPr>
                <w:t>Plan za 2023.</w:t>
              </w:r>
            </w:p>
          </w:tc>
          <w:tc>
            <w:tcPr>
              <w:tcW w:w="800" w:type="pct"/>
              <w:vAlign w:val="center"/>
              <w:shd w:val="clear" w:color="auto" w:fill="#bcdffb"/>
            </w:tcPr>
            <w:p>
              <w:pPr>
                <w:spacing w:after="0" w:line="240"/>
                <w:jc w:val="center"/>
              </w:pPr>
              <w:r>
                <w:rPr>
                  <w:b/>
                  <w:sz w:val="18"/>
                  <w:rFonts w:ascii="Calibri" w:hAnsi="Calibri" w:cs="Calibri"/>
                </w:rPr>
                <w:t>Povećanje/</w:t>
                <w:br/>
                <w:t>Smanjenje</w:t>
              </w:r>
            </w:p>
          </w:tc>
          <w:tc>
            <w:tcPr>
              <w:tcW w:w="800" w:type="pct"/>
              <w:vAlign w:val="center"/>
              <w:shd w:val="clear" w:color="auto" w:fill="#bcdffb"/>
            </w:tcPr>
            <w:p>
              <w:pPr>
                <w:spacing w:after="0" w:line="240"/>
                <w:jc w:val="center"/>
              </w:pPr>
              <w:r>
                <w:rPr>
                  <w:b/>
                  <w:sz w:val="18"/>
                  <w:rFonts w:ascii="Calibri" w:hAnsi="Calibri" w:cs="Calibri"/>
                </w:rPr>
                <w:t>Novi plan za</w:t>
                <w:br/>
                <w:t>2023.</w:t>
              </w:r>
            </w:p>
          </w:tc>
          <w:tc>
            <w:tcPr>
              <w:tcW w:w="400" w:type="pct"/>
              <w:vAlign w:val="center"/>
              <w:shd w:val="clear" w:color="auto" w:fill="#bcdffb"/>
            </w:tcPr>
            <w:p>
              <w:pPr>
                <w:spacing w:after="0" w:line="240"/>
                <w:jc w:val="center"/>
              </w:pPr>
              <w:r>
                <w:rPr>
                  <w:b/>
                  <w:sz w:val="18"/>
                  <w:rFonts w:ascii="Calibri" w:hAnsi="Calibri" w:cs="Calibri"/>
                </w:rPr>
                <w:t>Indeks</w:t>
              </w:r>
            </w:p>
          </w:tc>
        </w:tr>
        <w:tr>
          <w:tc>
            <w:tcPr>
              <w:tcW w:w="2000" w:type="pct"/>
              <w:vAlign w:val="bottom"/>
            </w:tcPr>
            <w:p>
              <w:pPr>
                <w:spacing w:after="0" w:line="240"/>
                <w:jc w:val="left"/>
              </w:pPr>
              <w:r>
                <w:rPr>
                  <w:sz w:val="18"/>
                  <w:rFonts w:ascii="Calibri" w:hAnsi="Calibri" w:cs="Calibri"/>
                </w:rPr>
                <w:t>PRIMICI OD FINANCIJSKE IMOVINE I ZADUŽIVANJA</w:t>
              </w:r>
            </w:p>
          </w:tc>
          <w:tc>
            <w:tcPr>
              <w:tcW w:w="800" w:type="pct"/>
              <w:vAlign w:val="bottom"/>
            </w:tcPr>
            <w:p>
              <w:pPr>
                <w:spacing w:after="0" w:line="240"/>
                <w:jc w:val="right"/>
              </w:pPr>
              <w:r>
                <w:rPr>
                  <w:sz w:val="18"/>
                  <w:rFonts w:ascii="Calibri" w:hAnsi="Calibri" w:cs="Calibri"/>
                </w:rPr>
                <w:t>130.786.335</w:t>
              </w:r>
            </w:p>
          </w:tc>
          <w:tc>
            <w:tcPr>
              <w:tcW w:w="800" w:type="pct"/>
              <w:vAlign w:val="bottom"/>
            </w:tcPr>
            <w:p>
              <w:pPr>
                <w:spacing w:after="0" w:line="240"/>
                <w:jc w:val="right"/>
              </w:pPr>
              <w:r>
                <w:rPr>
                  <w:sz w:val="18"/>
                  <w:rFonts w:ascii="Calibri" w:hAnsi="Calibri" w:cs="Calibri"/>
                </w:rPr>
                <w:t>-13.820.335</w:t>
              </w:r>
            </w:p>
          </w:tc>
          <w:tc>
            <w:tcPr>
              <w:tcW w:w="800" w:type="pct"/>
              <w:vAlign w:val="bottom"/>
            </w:tcPr>
            <w:p>
              <w:pPr>
                <w:spacing w:after="0" w:line="240"/>
                <w:jc w:val="right"/>
              </w:pPr>
              <w:r>
                <w:rPr>
                  <w:sz w:val="18"/>
                  <w:rFonts w:ascii="Calibri" w:hAnsi="Calibri" w:cs="Calibri"/>
                </w:rPr>
                <w:t>116.966.000</w:t>
              </w:r>
            </w:p>
          </w:tc>
          <w:tc>
            <w:tcPr>
              <w:tcW w:w="400" w:type="pct"/>
              <w:vAlign w:val="bottom"/>
            </w:tcPr>
            <w:p>
              <w:pPr>
                <w:spacing w:after="0" w:line="240"/>
                <w:jc w:val="right"/>
              </w:pPr>
              <w:r>
                <w:rPr>
                  <w:sz w:val="18"/>
                  <w:rFonts w:ascii="Calibri" w:hAnsi="Calibri" w:cs="Calibri"/>
                </w:rPr>
                <w:t>89,4</w:t>
              </w:r>
            </w:p>
          </w:tc>
        </w:tr>
        <w:tr>
          <w:tc>
            <w:tcPr>
              <w:tcW w:w="2000" w:type="pct"/>
              <w:vAlign w:val="bottom"/>
            </w:tcPr>
            <w:p>
              <w:pPr>
                <w:spacing w:after="0" w:line="240"/>
                <w:jc w:val="left"/>
              </w:pPr>
              <w:r>
                <w:rPr>
                  <w:sz w:val="18"/>
                  <w:rFonts w:ascii="Calibri" w:hAnsi="Calibri" w:cs="Calibri"/>
                </w:rPr>
                <w:t>IZDACI ZA FINANCIJSKU IMOVINU I OTPLATE ZAJMOVA</w:t>
              </w:r>
            </w:p>
          </w:tc>
          <w:tc>
            <w:tcPr>
              <w:tcW w:w="800" w:type="pct"/>
              <w:vAlign w:val="bottom"/>
            </w:tcPr>
            <w:p>
              <w:pPr>
                <w:spacing w:after="0" w:line="240"/>
                <w:jc w:val="right"/>
              </w:pPr>
              <w:r>
                <w:rPr>
                  <w:sz w:val="18"/>
                  <w:rFonts w:ascii="Calibri" w:hAnsi="Calibri" w:cs="Calibri"/>
                </w:rPr>
                <w:t>72.830.184</w:t>
              </w:r>
            </w:p>
          </w:tc>
          <w:tc>
            <w:tcPr>
              <w:tcW w:w="800" w:type="pct"/>
              <w:vAlign w:val="bottom"/>
            </w:tcPr>
            <w:p>
              <w:pPr>
                <w:spacing w:after="0" w:line="240"/>
                <w:jc w:val="right"/>
              </w:pPr>
              <w:r>
                <w:rPr>
                  <w:sz w:val="18"/>
                  <w:rFonts w:ascii="Calibri" w:hAnsi="Calibri" w:cs="Calibri"/>
                </w:rPr>
                <w:t>39.816</w:t>
              </w:r>
            </w:p>
          </w:tc>
          <w:tc>
            <w:tcPr>
              <w:tcW w:w="800" w:type="pct"/>
              <w:vAlign w:val="bottom"/>
            </w:tcPr>
            <w:p>
              <w:pPr>
                <w:spacing w:after="0" w:line="240"/>
                <w:jc w:val="right"/>
              </w:pPr>
              <w:r>
                <w:rPr>
                  <w:sz w:val="18"/>
                  <w:rFonts w:ascii="Calibri" w:hAnsi="Calibri" w:cs="Calibri"/>
                </w:rPr>
                <w:t>72.870.000</w:t>
              </w:r>
            </w:p>
          </w:tc>
          <w:tc>
            <w:tcPr>
              <w:tcW w:w="400" w:type="pct"/>
              <w:vAlign w:val="bottom"/>
            </w:tcPr>
            <w:p>
              <w:pPr>
                <w:spacing w:after="0" w:line="240"/>
                <w:jc w:val="right"/>
              </w:pPr>
              <w:r>
                <w:rPr>
                  <w:sz w:val="18"/>
                  <w:rFonts w:ascii="Calibri" w:hAnsi="Calibri" w:cs="Calibri"/>
                </w:rPr>
                <w:t>100,1</w:t>
              </w:r>
            </w:p>
          </w:tc>
        </w:tr>
        <w:tr>
          <w:tc>
            <w:tcPr>
              <w:tcW w:w="2000" w:type="pct"/>
              <w:vAlign w:val="bottom"/>
            </w:tcPr>
            <w:p>
              <w:pPr>
                <w:spacing w:after="0" w:line="240"/>
                <w:jc w:val="left"/>
              </w:pPr>
              <w:r>
                <w:rPr>
                  <w:sz w:val="18"/>
                  <w:rFonts w:ascii="Calibri" w:hAnsi="Calibri" w:cs="Calibri"/>
                </w:rPr>
                <w:t>PRIJENOS SREDSTAVA IZ PRETHODNE GODINE</w:t>
              </w:r>
            </w:p>
          </w:tc>
          <w:tc>
            <w:tcPr>
              <w:tcW w:w="800" w:type="pct"/>
              <w:vAlign w:val="bottom"/>
            </w:tcPr>
            <w:p>
              <w:pPr>
                <w:spacing w:after="0" w:line="240"/>
                <w:jc w:val="right"/>
              </w:pPr>
              <w:r>
                <w:rPr>
                  <w:sz w:val="18"/>
                  <w:rFonts w:ascii="Calibri" w:hAnsi="Calibri" w:cs="Calibri"/>
                </w:rPr>
                <w:t>31.101.757</w:t>
              </w:r>
            </w:p>
          </w:tc>
          <w:tc>
            <w:tcPr>
              <w:tcW w:w="800" w:type="pct"/>
              <w:vAlign w:val="bottom"/>
            </w:tcPr>
            <w:p>
              <w:pPr>
                <w:spacing w:after="0" w:line="240"/>
                <w:jc w:val="right"/>
              </w:pPr>
              <w:r>
                <w:rPr>
                  <w:sz w:val="18"/>
                  <w:rFonts w:ascii="Calibri" w:hAnsi="Calibri" w:cs="Calibri"/>
                </w:rPr>
                <w:t>0</w:t>
              </w:r>
            </w:p>
          </w:tc>
          <w:tc>
            <w:tcPr>
              <w:tcW w:w="800" w:type="pct"/>
              <w:vAlign w:val="bottom"/>
            </w:tcPr>
            <w:p>
              <w:pPr>
                <w:spacing w:after="0" w:line="240"/>
                <w:jc w:val="right"/>
              </w:pPr>
              <w:r>
                <w:rPr>
                  <w:sz w:val="18"/>
                  <w:rFonts w:ascii="Calibri" w:hAnsi="Calibri" w:cs="Calibri"/>
                </w:rPr>
                <w:t>31.101.757</w:t>
              </w:r>
            </w:p>
          </w:tc>
          <w:tc>
            <w:tcPr>
              <w:tcW w:w="400" w:type="pct"/>
              <w:vAlign w:val="bottom"/>
            </w:tcPr>
            <w:p>
              <w:pPr>
                <w:spacing w:after="0" w:line="240"/>
                <w:jc w:val="right"/>
              </w:pPr>
              <w:r>
                <w:rPr>
                  <w:sz w:val="18"/>
                  <w:rFonts w:ascii="Calibri" w:hAnsi="Calibri" w:cs="Calibri"/>
                </w:rPr>
                <w:t>100,0</w:t>
              </w:r>
            </w:p>
          </w:tc>
        </w:tr>
        <w:tr>
          <w:tc>
            <w:tcPr>
              <w:tcW w:w="2000" w:type="pct"/>
              <w:vAlign w:val="bottom"/>
            </w:tcPr>
            <w:p>
              <w:pPr>
                <w:spacing w:after="0" w:line="240"/>
                <w:jc w:val="left"/>
              </w:pPr>
              <w:r>
                <w:rPr>
                  <w:sz w:val="18"/>
                  <w:rFonts w:ascii="Calibri" w:hAnsi="Calibri" w:cs="Calibri"/>
                </w:rPr>
                <w:t>PRIJENOS SREDSTAVA U SLJEDEĆU GODINU</w:t>
              </w:r>
            </w:p>
          </w:tc>
          <w:tc>
            <w:tcPr>
              <w:tcW w:w="800" w:type="pct"/>
              <w:vAlign w:val="bottom"/>
            </w:tcPr>
            <w:p>
              <w:pPr>
                <w:spacing w:after="0" w:line="240"/>
                <w:jc w:val="right"/>
              </w:pPr>
              <w:r>
                <w:rPr>
                  <w:sz w:val="18"/>
                  <w:rFonts w:ascii="Calibri" w:hAnsi="Calibri" w:cs="Calibri"/>
                </w:rPr>
                <w:t>-31.101.757</w:t>
              </w:r>
            </w:p>
          </w:tc>
          <w:tc>
            <w:tcPr>
              <w:tcW w:w="800" w:type="pct"/>
              <w:vAlign w:val="bottom"/>
            </w:tcPr>
            <w:p>
              <w:pPr>
                <w:spacing w:after="0" w:line="240"/>
                <w:jc w:val="right"/>
              </w:pPr>
              <w:r>
                <w:rPr>
                  <w:sz w:val="18"/>
                  <w:rFonts w:ascii="Calibri" w:hAnsi="Calibri" w:cs="Calibri"/>
                </w:rPr>
                <w:t>1.860.151</w:t>
              </w:r>
            </w:p>
          </w:tc>
          <w:tc>
            <w:tcPr>
              <w:tcW w:w="800" w:type="pct"/>
              <w:vAlign w:val="bottom"/>
            </w:tcPr>
            <w:p>
              <w:pPr>
                <w:spacing w:after="0" w:line="240"/>
                <w:jc w:val="right"/>
              </w:pPr>
              <w:r>
                <w:rPr>
                  <w:sz w:val="18"/>
                  <w:rFonts w:ascii="Calibri" w:hAnsi="Calibri" w:cs="Calibri"/>
                </w:rPr>
                <w:t>-29.241.606</w:t>
              </w:r>
            </w:p>
          </w:tc>
          <w:tc>
            <w:tcPr>
              <w:tcW w:w="400" w:type="pct"/>
              <w:vAlign w:val="bottom"/>
            </w:tcPr>
            <w:p>
              <w:pPr>
                <w:spacing w:after="0" w:line="240"/>
                <w:jc w:val="right"/>
              </w:pPr>
              <w:r>
                <w:rPr>
                  <w:sz w:val="18"/>
                  <w:rFonts w:ascii="Calibri" w:hAnsi="Calibri" w:cs="Calibri"/>
                </w:rPr>
                <w:t>94,0</w:t>
              </w:r>
            </w:p>
          </w:tc>
        </w:tr>
        <w:tr>
          <w:tc>
            <w:tcPr>
              <w:tcW w:w="2000" w:type="pct"/>
              <w:vAlign w:val="bottom"/>
            </w:tcPr>
            <w:p>
              <w:pPr>
                <w:spacing w:after="0" w:line="240"/>
                <w:jc w:val="left"/>
              </w:pPr>
              <w:r>
                <w:rPr>
                  <w:b/>
                  <w:sz w:val="18"/>
                  <w:rFonts w:ascii="Calibri" w:hAnsi="Calibri" w:cs="Calibri"/>
                </w:rPr>
                <w:t>NETO FINANCIRANJE</w:t>
              </w:r>
            </w:p>
          </w:tc>
          <w:tc>
            <w:tcPr>
              <w:tcW w:w="800" w:type="pct"/>
              <w:vAlign w:val="bottom"/>
            </w:tcPr>
            <w:p>
              <w:pPr>
                <w:spacing w:after="0" w:line="240"/>
                <w:jc w:val="right"/>
              </w:pPr>
              <w:r>
                <w:rPr>
                  <w:b/>
                  <w:sz w:val="18"/>
                  <w:rFonts w:ascii="Calibri" w:hAnsi="Calibri" w:cs="Calibri"/>
                </w:rPr>
                <w:t>57.956.151</w:t>
              </w:r>
            </w:p>
          </w:tc>
          <w:tc>
            <w:tcPr>
              <w:tcW w:w="800" w:type="pct"/>
              <w:vAlign w:val="bottom"/>
            </w:tcPr>
            <w:p>
              <w:pPr>
                <w:spacing w:after="0" w:line="240"/>
                <w:jc w:val="right"/>
              </w:pPr>
              <w:r>
                <w:rPr>
                  <w:b/>
                  <w:sz w:val="18"/>
                  <w:rFonts w:ascii="Calibri" w:hAnsi="Calibri" w:cs="Calibri"/>
                </w:rPr>
                <w:t>-12.000.000</w:t>
              </w:r>
            </w:p>
          </w:tc>
          <w:tc>
            <w:tcPr>
              <w:tcW w:w="800" w:type="pct"/>
              <w:vAlign w:val="bottom"/>
            </w:tcPr>
            <w:p>
              <w:pPr>
                <w:spacing w:after="0" w:line="240"/>
                <w:jc w:val="right"/>
              </w:pPr>
              <w:r>
                <w:rPr>
                  <w:b/>
                  <w:sz w:val="18"/>
                  <w:rFonts w:ascii="Calibri" w:hAnsi="Calibri" w:cs="Calibri"/>
                </w:rPr>
                <w:t>45.956.151</w:t>
              </w:r>
            </w:p>
          </w:tc>
          <w:tc>
            <w:tcPr>
              <w:tcW w:w="400" w:type="pct"/>
              <w:vAlign w:val="bottom"/>
            </w:tcPr>
            <w:p>
              <w:pPr>
                <w:spacing w:after="0" w:line="240"/>
                <w:jc w:val="right"/>
              </w:pPr>
              <w:r>
                <w:rPr>
                  <w:b/>
                  <w:sz w:val="18"/>
                  <w:rFonts w:ascii="Calibri" w:hAnsi="Calibri" w:cs="Calibri"/>
                </w:rPr>
                <w:t>79,3</w:t>
              </w:r>
            </w:p>
          </w:tc>
        </w:tr>
      </w:tbl>
      <w:p>
        <w:pPr>
          <w:spacing w:after="0" w:line="240"/>
        </w:pPr>
      </w:p>
      <w:p>
        <w:pPr>
          <w:spacing w:line="240"/>
          <w:jc w:val="both"/>
        </w:pPr>
        <w:r>
          <w:rPr>
            <w:rFonts w:ascii="Calibri" w:hAnsi="Calibri" w:cs="Calibri"/>
            <w:sz w:val="22"/>
          </w:rPr>
          <w:t xml:space="preserve">Izdaci za financijsku imovinu i otplate
zajmova u Izmjenama i dopunama financijskog plana iznose 72,87 milijuna eura.</w:t>
        </w:r>
      </w:p>
      <w:p>
        <w:pPr>
          <w:spacing w:line="240"/>
          <w:jc w:val="both"/>
        </w:pPr>
        <w:r>
          <w:rPr>
            <w:rFonts w:ascii="Calibri" w:hAnsi="Calibri" w:cs="Calibri"/>
            <w:sz w:val="22"/>
          </w:rPr>
          <w:t xml:space="preserve">Planirani primici od financijske imovine
i zaduživanja u Izmjenama Plana iznose 116,97 milijuna eura, što je smanjenje
od 13,82 milijuna eura u odnosu na trenutni Plan.</w:t>
        </w:r>
      </w:p>
      <w:p>
        <w:pPr>
          <w:spacing w:line="240"/>
          <w:jc w:val="both"/>
        </w:pPr>
        <w:r>
          <w:rPr>
            <w:rFonts w:ascii="Calibri" w:hAnsi="Calibri" w:cs="Calibri"/>
            <w:sz w:val="22"/>
          </w:rPr>
          <w:t xml:space="preserve">Prijenos sredstava u sljedeću godinu
planiran je u iznosu od 29,24 milijuna eura.</w:t>
        </w:r>
      </w:p>
    </w:sectPr>
  </w:body>
</w:document>
</file>

<file path=word/footer1.xml><?xml version="1.0" encoding="utf-8"?>
<w:ftr xmlns:w="http://schemas.openxmlformats.org/wordprocessingml/2006/main"/>
</file>

<file path=word/footer2.xml><?xml version="1.0" encoding="utf-8"?>
<w:ftr xmlns:w="http://schemas.openxmlformats.org/wordprocessingml/2006/main">
  <w:p>
    <w:pPr>
      <w:pStyle w:val="Footer"/>
      <w:jc w:val="right"/>
    </w:pPr>
    <w:r>
      <w:fldSimple w:instr="Page"/>
    </w:r>
  </w:p>
</w:ftr>
</file>

<file path=word/_rels/document.xml.rels>&#65279;<?xml version="1.0" encoding="utf-8"?><Relationships xmlns="http://schemas.openxmlformats.org/package/2006/relationships"><Relationship Type="http://schemas.openxmlformats.org/officeDocument/2006/relationships/footer" Target="/word/footer1.xml" Id="r97" /><Relationship Type="http://schemas.openxmlformats.org/officeDocument/2006/relationships/footer" Target="/word/footer2.xml" Id="r98" /></Relationships>
</file>