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b740ad484457a" /></Relationships>
</file>

<file path=word/document.xml><?xml version="1.0" encoding="utf-8"?>
<w:document xmlns:w="http://schemas.openxmlformats.org/wordprocessingml/2006/main">
  <w:body>
    <w:sectPr>
      <w:footerReference xmlns:r="http://schemas.openxmlformats.org/officeDocument/2006/relationships" w:type="first" r:id="r97"/>
      <w:footerReference xmlns:r="http://schemas.openxmlformats.org/officeDocument/2006/relationships" w:type="default" r:id="r98"/>
      <w:type w:val="nextPage"/>
      <w:titlePg/>
      <w:pgNumType w:start="0"/>
      <w:pgMar w:top="1152" w:right="1152" w:bottom="1152" w:left="1152"/>
      <w:p>
        <w:pPr>
          <w:spacing w:line="240"/>
          <w:jc w:val="center"/>
        </w:pPr>
        <w:r>
          <w:rPr>
            <w:b/>
            <w:sz w:val="28"/>
            <w:rFonts w:ascii="Calibri" w:hAnsi="Calibri" w:cs="Calibri"/>
          </w:rPr>
          <w:br/>
          <w:br/>
          <w:br/>
          <w:br/>
          <w:br/>
          <w:br/>
          <w:br/>
          <w:br/>
          <w:br/>
          <w:br/>
          <w:br/>
          <w:br/>
          <w:br/>
          <w:br/>
          <w:t xml:space="preserve">OBRAZLOŽENJE IZMJENA I DOPUNA FINANCIJSKOG PLANA HRVATSKIH CESTA ZA  2023. GODINU I PROJEKCIJA PLANA ZA 2024. I 2025. GODINU</w:t>
          <w:br w:type="page"/>
        </w:r>
      </w:p>
      <w:p>
        <w:pPr>
          <w:spacing w:line="240"/>
          <w:jc w:val="left"/>
        </w:pPr>
        <w:r>
          <w:rPr>
            <w:b/>
            <w:u w:val="single"/>
            <w:sz w:val="22"/>
            <w:rFonts w:ascii="Calibri" w:hAnsi="Calibri" w:cs="Calibri"/>
          </w:rPr>
          <w:br/>
          <w:t xml:space="preserve">UVOD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Poslovanje društva Hrvatske ceste d.o.o.
određeno je Zakonom o cestama, Izjavom o osnivanju, Zakonom o trgovačkim
društvima, Zakonom o proračunu, odlukama Vlade Republike Hrvatske te drugim
zakonima i pravilnicima vezanima uz djelatnost Društva. Osnovna djelatnost
Društva je upravljanje, građenje, rekonstrukcija i održavanje državnih cesta.
Planiranje poslovnih aktivnosti Društva u skladu je sa Strategijom prometnog
razvitka, četverogodišnjim Programom građenja i održavanja javnih cesta koji
donosi Vlada Republike Hrvatske na prijedlog Ministarstva mora, prometa i
infrastrukture. Temeljem četverogodišnjeg Programa, Hrvatske ceste izrađuju
godišnji plan ulaganja u građenje i održavanje državnih cesta.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Hrvatski sabor je na svojoj sjednici 29. studenoga
2022. donio Odluku o davanju suglasnosti na Financijski plan Hrvatskih cesta za
2023. godinu i projekcije plana za 2024. i 2025. godinu. 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U sklopu izrade Prijedloga Izmjena i dopuna
Državnog proračuna Republike Hrvatske za 2023. godinu Društvo je pripremilo Izmjene i dopune Financijskog plana za 2023. godinu.</w:t>
        </w:r>
      </w:p>
      <w:p>
        <w:pPr>
          <w:spacing w:line="240"/>
          <w:jc w:val="left"/>
        </w:pPr>
        <w:r>
          <w:rPr>
            <w:b/>
            <w:u w:val="single"/>
            <w:sz w:val="22"/>
            <w:rFonts w:ascii="Calibri" w:hAnsi="Calibri" w:cs="Calibri"/>
          </w:rPr>
          <w:br/>
          <w:t xml:space="preserve">PRIHODI</w:t>
        </w:r>
      </w:p>
      <w:tbl>
        <w:tblPr>
          <w:tblW w:w="4850" w:type="pct"/>
          <w:tblBorders>
            <w:top w:val="single" w:sz="5"/>
            <w:bottom w:val="single" w:sz="5"/>
            <w:left w:val="single" w:sz="5"/>
            <w:right w:val="single" w:sz="5"/>
            <w:insideH w:val="single" w:sz="5"/>
            <w:insideV w:val="single" w:sz="5"/>
          </w:tblBorders>
          <w:tblCellMar>
            <w:top w:w="0" w:type="dxa"/>
            <w:start w:w="100" w:type="dxa"/>
            <w:bottom w:w="0" w:type="dxa"/>
            <w:end w:w="100" w:type="dxa"/>
          </w:tblCellMar>
        </w:tblPr>
        <w:tr>
          <w:tc>
            <w:tcPr>
              <w:tcW w:w="20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/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Plan za 2023.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Povećanje/</w:t>
                <w:br/>
                <w:t>Smanjenje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Novi plan za</w:t>
                <w:br/>
                <w:t>2023.</w:t>
              </w:r>
            </w:p>
          </w:tc>
          <w:tc>
            <w:tcPr>
              <w:tcW w:w="4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Indeks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PRIHODI POSLOVANJA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337.684.309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723.905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338.408.214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100,2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PRIHODI OD PRODAJE NEFINANCIJSKE IMOVINE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1.963.614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-1.903.614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60.000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3,1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b/>
                  <w:sz w:val="18"/>
                  <w:rFonts w:ascii="Calibri" w:hAnsi="Calibri" w:cs="Calibri"/>
                </w:rPr>
                <w:t>UKUPNI PRIHODI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339.647.923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-1.179.709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338.468.214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99,7</w:t>
              </w:r>
            </w:p>
          </w:tc>
        </w:tr>
      </w:tbl>
      <w:p>
        <w:pPr>
          <w:spacing w:after="0" w:line="240"/>
        </w:pP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Ukupni planirani
prihodi Hrvatskih cesta u prijedlogu Izmjena i dopuna Financijskog plana za 2023.
godinu iznose 338,47 milijuna eura, što predstavlja smanjenje od 0,35 % u
odnosu na originalni Plan. 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Prihodi poslovanja povećani
su za 0,21 % na 338,41 milijuna eura. Najznačajniju stavku prihoda poslovanja
čini naknada za financiranje građenja i održavanja javnih cesta propisana
Zakonom o cestama, a uplaćuje se iz Državnog proračuna. Prihodi od naknade iz
goriva planirani su u jednakom iznosu kao i u originalnom Planu, te iznose 246,12 milijuna eura.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Sredstva za
financiranje EU projekata i programa sastoje se od tekućih i kapitalnih pomoći
temeljem prijenosa sredstava iz EU fondova, tekućih i kapitalnih pomoći iz
proračuna (nacionalna komponenta) te direktnih kapitalnih pomoći od institucija
i tijela EU. Ukupan planirani iznos za povlačenja sredstava za financiranje EU
projekata i programa iznosi 83,30 milijuna eura, što je povećanje od 1,03 milijuna eura, odnosno 1,25 % u odnosu na prvotno planirano. Povećanje se odnosi na veće planirano povlačenje sredstava za sanaciju državnih cesta oštećenih u potresu.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Planirani
prihodi od prodaje nefinancijske imovine smanjeni su za iznos od 1,90 milijuna eura,
te sada iznose 0,06 milijuna eura. Razlog je produženje postupka planirane prodaje
stambenih i poslovnih objekata.</w:t>
        </w:r>
        <w:r>
          <w:rPr>
            <w:rFonts w:ascii="Calibri" w:hAnsi="Calibri" w:cs="Calibri"/>
            <w:sz w:val="22"/>
          </w:rPr>
          <w:br/>
        </w:r>
      </w:p>
      <w:p>
        <w:pPr>
          <w:spacing w:line="240"/>
          <w:jc w:val="left"/>
        </w:pPr>
        <w:r>
          <w:rPr>
            <w:b/>
            <w:u w:val="single"/>
            <w:sz w:val="22"/>
            <w:rFonts w:ascii="Calibri" w:hAnsi="Calibri" w:cs="Calibri"/>
          </w:rPr>
          <w:br/>
          <w:t xml:space="preserve">RASHODI</w:t>
        </w:r>
      </w:p>
      <w:tbl>
        <w:tblPr>
          <w:tblW w:w="4850" w:type="pct"/>
          <w:tblBorders>
            <w:top w:val="single" w:sz="5"/>
            <w:bottom w:val="single" w:sz="5"/>
            <w:left w:val="single" w:sz="5"/>
            <w:right w:val="single" w:sz="5"/>
            <w:insideH w:val="single" w:sz="5"/>
            <w:insideV w:val="single" w:sz="5"/>
          </w:tblBorders>
          <w:tblCellMar>
            <w:top w:w="0" w:type="dxa"/>
            <w:start w:w="100" w:type="dxa"/>
            <w:bottom w:w="0" w:type="dxa"/>
            <w:end w:w="100" w:type="dxa"/>
          </w:tblCellMar>
        </w:tblPr>
        <w:tr>
          <w:tc>
            <w:tcPr>
              <w:tcW w:w="20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/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Plan za 2023.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Povećanje/</w:t>
                <w:br/>
                <w:t>Smanjenje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Novi plan za</w:t>
                <w:br/>
                <w:t>2023.</w:t>
              </w:r>
            </w:p>
          </w:tc>
          <w:tc>
            <w:tcPr>
              <w:tcW w:w="4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Indeks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RASHODI POSLOVANJA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165.618.304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13.485.964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179.104.268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108,1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RASHODI ZA NABAVU NEFINANCIJSKE IMOVINE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217.900.529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-580.432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217.320.097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99,7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b/>
                  <w:sz w:val="18"/>
                  <w:rFonts w:ascii="Calibri" w:hAnsi="Calibri" w:cs="Calibri"/>
                </w:rPr>
                <w:t>UKUPNI RASHODI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383.518.833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12.905.532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396.424.365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103,4</w:t>
              </w:r>
            </w:p>
          </w:tc>
        </w:tr>
      </w:tbl>
      <w:p>
        <w:pPr>
          <w:spacing w:after="0" w:line="240"/>
        </w:pP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Rashodi poslovanja u Izmjenama Plana
iznose 179,10 milijuna eura, a povećani su u odnosu na originalni plan za 8,14
%. 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Najveće povećanje u iznosu od 5,82 milijuna
eura je na stavci Materijalni rashodi, a najvećim dijelom uzrokovano je
povećanjem troškova za redovito održavanje državnih cesta. Navedeno je vidljivo u Posebnom dijelu
na aktivnosti A300003 – Redovito održavanje. Razlog povećanja je poskupljenje
cijena radova što je kao posljedicu imalo da je najniža ponuda na javnoj nabavi
bila viša od procijenjene vrijednosti.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Drugo veliko povećanje odnosi se na
stavku Financijskih rashoda i iznosi 7,13 milijuna eura. Ovo je direktna
posljedica rasta kamatnih stopa na financijskom tržištu, a vidljivo je u posebnom dijelu u sklopu
aktivnosti A300001 - Zajmovi od tuzemnih banaka i ostalih financijskih
institucija izvan javnog sektora.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Rashodi za nabavu nefinancijske imovine u
Izmjenama Plana iznose 217,32 milijuna eura i smanjeni su u odnosu na
originalni Plan za 0,3 %. Smanjenje se odnosi na plan rashoda za nabavu poslovnih objekata.</w:t>
        </w:r>
      </w:p>
      <w:p>
        <w:pPr>
          <w:spacing w:line="240"/>
          <w:jc w:val="left"/>
        </w:pPr>
        <w:r>
          <w:rPr>
            <w:b/>
            <w:u w:val="single"/>
            <w:sz w:val="22"/>
            <w:rFonts w:ascii="Calibri" w:hAnsi="Calibri" w:cs="Calibri"/>
          </w:rPr>
          <w:br/>
          <w:t xml:space="preserve">UKUPNI VIŠAK/MANJAK</w:t>
        </w:r>
      </w:p>
      <w:tbl>
        <w:tblPr>
          <w:tblW w:w="4850" w:type="pct"/>
          <w:tblBorders>
            <w:top w:val="single" w:sz="5"/>
            <w:bottom w:val="single" w:sz="5"/>
            <w:left w:val="single" w:sz="5"/>
            <w:right w:val="single" w:sz="5"/>
            <w:insideH w:val="single" w:sz="5"/>
            <w:insideV w:val="single" w:sz="5"/>
          </w:tblBorders>
          <w:tblCellMar>
            <w:top w:w="0" w:type="dxa"/>
            <w:start w:w="100" w:type="dxa"/>
            <w:bottom w:w="0" w:type="dxa"/>
            <w:end w:w="100" w:type="dxa"/>
          </w:tblCellMar>
        </w:tblPr>
        <w:tr>
          <w:tc>
            <w:tcPr>
              <w:tcW w:w="20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/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Plan za 2023.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Povećanje/</w:t>
                <w:br/>
                <w:t>Smanjenje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Novi plan za</w:t>
                <w:br/>
                <w:t>2023.</w:t>
              </w:r>
            </w:p>
          </w:tc>
          <w:tc>
            <w:tcPr>
              <w:tcW w:w="4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Indeks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UKUPNI PRIHODI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339.647.923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-1.179.709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338.468.214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99,7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UKUPNI RASHODI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383.518.833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12.905.532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396.424.365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103,4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b/>
                  <w:sz w:val="18"/>
                  <w:rFonts w:ascii="Calibri" w:hAnsi="Calibri" w:cs="Calibri"/>
                </w:rPr>
                <w:t>RAZLIKA - VIŠAK/MANJAK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-43.870.910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-14.085.241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-57.956.151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132,1</w:t>
              </w:r>
            </w:p>
          </w:tc>
        </w:tr>
      </w:tbl>
      <w:p>
        <w:pPr>
          <w:spacing w:after="0" w:line="240"/>
        </w:pP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Kao rezultat razlike između planiranih
prihoda i rashoda u prijedlogu Izmjena Financijskog plana Hrvatske ceste imaju
predviđen manjak u iznosu od 57,96 milijuna eura, što je povećanje od 14,09
milijuna eura, a uzrokovano je povećanjem cijena radova i povećanjem kamatnih
stopa na tržištu.</w:t>
        </w:r>
      </w:p>
      <w:p>
        <w:pPr>
          <w:spacing w:line="240"/>
          <w:jc w:val="left"/>
        </w:pPr>
        <w:r>
          <w:rPr>
            <w:b/>
            <w:u w:val="single"/>
            <w:sz w:val="22"/>
            <w:rFonts w:ascii="Calibri" w:hAnsi="Calibri" w:cs="Calibri"/>
          </w:rPr>
          <w:br/>
          <w:t xml:space="preserve">RAČUN FINANCIRANJA</w:t>
        </w:r>
      </w:p>
      <w:tbl>
        <w:tblPr>
          <w:tblW w:w="4850" w:type="pct"/>
          <w:tblBorders>
            <w:top w:val="single" w:sz="5"/>
            <w:bottom w:val="single" w:sz="5"/>
            <w:left w:val="single" w:sz="5"/>
            <w:right w:val="single" w:sz="5"/>
            <w:insideH w:val="single" w:sz="5"/>
            <w:insideV w:val="single" w:sz="5"/>
          </w:tblBorders>
          <w:tblCellMar>
            <w:top w:w="0" w:type="dxa"/>
            <w:start w:w="100" w:type="dxa"/>
            <w:bottom w:w="0" w:type="dxa"/>
            <w:end w:w="100" w:type="dxa"/>
          </w:tblCellMar>
        </w:tblPr>
        <w:tr>
          <w:tc>
            <w:tcPr>
              <w:tcW w:w="20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/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Plan za 2023.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Povećanje/</w:t>
                <w:br/>
                <w:t>Smanjenje</w:t>
              </w:r>
            </w:p>
          </w:tc>
          <w:tc>
            <w:tcPr>
              <w:tcW w:w="8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Novi plan za</w:t>
                <w:br/>
                <w:t>2023.</w:t>
              </w:r>
            </w:p>
          </w:tc>
          <w:tc>
            <w:tcPr>
              <w:tcW w:w="400" w:type="pct"/>
              <w:vAlign w:val="center"/>
              <w:shd w:val="clear" w:color="auto" w:fill="#bcdffb"/>
            </w:tcPr>
            <w:p>
              <w:pPr>
                <w:spacing w:after="0" w:line="240"/>
                <w:jc w:val="center"/>
              </w:pPr>
              <w:r>
                <w:rPr>
                  <w:b/>
                  <w:sz w:val="18"/>
                  <w:rFonts w:ascii="Calibri" w:hAnsi="Calibri" w:cs="Calibri"/>
                </w:rPr>
                <w:t>Indeks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PRIMICI OD FINANCIJSKE IMOVINE I ZADUŽIVANJA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116.701.094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14.085.241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130.786.335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112,1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IZDACI ZA FINANCIJSKU IMOVINU I OTPLATE ZAJMOVA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72.830.184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0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72.830.184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100,0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PRIJENOS SREDSTAVA IZ PRETHODNE GODINE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42.277.517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-11.175.760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31.101.757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73,6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sz w:val="18"/>
                  <w:rFonts w:ascii="Calibri" w:hAnsi="Calibri" w:cs="Calibri"/>
                </w:rPr>
                <w:t>PRIJENOS SREDSTAVA U SLJEDEĆU GODINU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-42.277.517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11.175.760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-31.101.757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sz w:val="18"/>
                  <w:rFonts w:ascii="Calibri" w:hAnsi="Calibri" w:cs="Calibri"/>
                </w:rPr>
                <w:t>73,6</w:t>
              </w:r>
            </w:p>
          </w:tc>
        </w:tr>
        <w:tr>
          <w:tc>
            <w:tcPr>
              <w:tcW w:w="2000" w:type="pct"/>
              <w:vAlign w:val="bottom"/>
            </w:tcPr>
            <w:p>
              <w:pPr>
                <w:spacing w:after="0" w:line="240"/>
                <w:jc w:val="left"/>
              </w:pPr>
              <w:r>
                <w:rPr>
                  <w:b/>
                  <w:sz w:val="18"/>
                  <w:rFonts w:ascii="Calibri" w:hAnsi="Calibri" w:cs="Calibri"/>
                </w:rPr>
                <w:t>NETO FINANCIRANJE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43.870.910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14.085.241</w:t>
              </w:r>
            </w:p>
          </w:tc>
          <w:tc>
            <w:tcPr>
              <w:tcW w:w="8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57.956.151</w:t>
              </w:r>
            </w:p>
          </w:tc>
          <w:tc>
            <w:tcPr>
              <w:tcW w:w="400" w:type="pct"/>
              <w:vAlign w:val="bottom"/>
            </w:tcPr>
            <w:p>
              <w:pPr>
                <w:spacing w:after="0" w:line="240"/>
                <w:jc w:val="right"/>
              </w:pPr>
              <w:r>
                <w:rPr>
                  <w:b/>
                  <w:sz w:val="18"/>
                  <w:rFonts w:ascii="Calibri" w:hAnsi="Calibri" w:cs="Calibri"/>
                </w:rPr>
                <w:t>132,1</w:t>
              </w:r>
            </w:p>
          </w:tc>
        </w:tr>
      </w:tbl>
      <w:p>
        <w:pPr>
          <w:spacing w:after="0" w:line="240"/>
        </w:pP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Izdaci za financijsku imovinu i otplate
zajmova u Izmjenama Plana iznose 72,83 milijuna eura što je jednako prethodno
planiranom iznosu. 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Planirani iznos zaduživanja u Izmjenama
Plana iznosi 130,79 milijuna eura, što je povećanje od 14,09 milijuna eura u
odnosu na trenutni Plan i direktna je posljedica povećanja manjka.</w:t>
        </w:r>
      </w:p>
      <w:p>
        <w:pPr>
          <w:spacing w:line="240"/>
          <w:jc w:val="both"/>
        </w:pPr>
        <w:r>
          <w:rPr>
            <w:rFonts w:ascii="Calibri" w:hAnsi="Calibri" w:cs="Calibri"/>
            <w:sz w:val="22"/>
          </w:rPr>
          <w:t xml:space="preserve">Prijenos
sredstava iz prethodne godine korigiran je u skladu s rezultatima poslovanja
2022. godine, te sada iznosi 31,10 milijuna eura. Prijenos sredstava u sljedeću
godinu planiran je u jednakom iznosu.</w:t>
        </w:r>
        <w:r>
          <w:rPr>
            <w:rFonts w:ascii="Calibri" w:hAnsi="Calibri" w:cs="Calibri"/>
            <w:sz w:val="22"/>
          </w:rPr>
          <w:br/>
        </w:r>
      </w:p>
    </w:sectPr>
  </w:body>
</w:document>
</file>

<file path=word/footer1.xml><?xml version="1.0" encoding="utf-8"?>
<w:ftr xmlns:w="http://schemas.openxmlformats.org/wordprocessingml/2006/main"/>
</file>

<file path=word/footer2.xml><?xml version="1.0" encoding="utf-8"?>
<w:ftr xmlns:w="http://schemas.openxmlformats.org/wordprocessingml/2006/main">
  <w:p>
    <w:pPr>
      <w:pStyle w:val="Footer"/>
      <w:jc w:val="right"/>
    </w:pPr>
    <w:r>
      <w:fldSimple w:instr="Page"/>
    </w:r>
  </w:p>
</w:ftr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97" /><Relationship Type="http://schemas.openxmlformats.org/officeDocument/2006/relationships/footer" Target="/word/footer2.xml" Id="r98" /></Relationships>
</file>